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B1" w:rsidRPr="004D07DE" w:rsidRDefault="00C44501" w:rsidP="004D07DE">
      <w:pPr>
        <w:widowControl w:val="0"/>
        <w:suppressAutoHyphens/>
        <w:spacing w:after="0" w:line="240" w:lineRule="auto"/>
        <w:jc w:val="right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>I</w:t>
      </w:r>
      <w:r w:rsidR="00C913BB">
        <w:rPr>
          <w:rFonts w:ascii="Arial" w:eastAsia="Arial" w:hAnsi="Arial" w:cs="Arial"/>
        </w:rPr>
        <w:t>V</w:t>
      </w:r>
      <w:r w:rsidRPr="004D07DE">
        <w:rPr>
          <w:rFonts w:ascii="Arial" w:eastAsia="Arial" w:hAnsi="Arial" w:cs="Arial"/>
        </w:rPr>
        <w:t>.</w:t>
      </w:r>
    </w:p>
    <w:p w:rsidR="00EC54B1" w:rsidRPr="004D07DE" w:rsidRDefault="00EC54B1" w:rsidP="004D07DE">
      <w:pPr>
        <w:widowControl w:val="0"/>
        <w:suppressAutoHyphens/>
        <w:spacing w:after="0" w:line="240" w:lineRule="auto"/>
        <w:jc w:val="right"/>
        <w:rPr>
          <w:rFonts w:ascii="Arial" w:eastAsia="Arial" w:hAnsi="Arial" w:cs="Arial"/>
        </w:rPr>
      </w:pPr>
    </w:p>
    <w:p w:rsidR="00F748FD" w:rsidRPr="004D07DE" w:rsidRDefault="004D07DE" w:rsidP="004D07DE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>Odůvodnění</w:t>
      </w:r>
    </w:p>
    <w:p w:rsidR="00EC54B1" w:rsidRPr="004D07DE" w:rsidRDefault="00EC54B1" w:rsidP="004D07DE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F748FD" w:rsidRPr="004D07DE" w:rsidRDefault="00B2245C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>Název:</w:t>
      </w:r>
    </w:p>
    <w:p w:rsidR="00F748FD" w:rsidRPr="004D07DE" w:rsidRDefault="00256A32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 xml:space="preserve">Návrh nařízení vlády, kterým se mění nařízení vlády č. 361/2007 Sb., kterým se stanoví podmínky ochrany zdraví při práci, ve znění nařízení vlády č. 68/2010 Sb., </w:t>
      </w:r>
      <w:r w:rsidR="00EA55D6">
        <w:rPr>
          <w:rFonts w:ascii="Arial" w:eastAsia="Arial" w:hAnsi="Arial" w:cs="Arial"/>
        </w:rPr>
        <w:t>č. 93/2012 Sb., č. </w:t>
      </w:r>
      <w:r w:rsidRPr="004D07DE">
        <w:rPr>
          <w:rFonts w:ascii="Arial" w:eastAsia="Arial" w:hAnsi="Arial" w:cs="Arial"/>
        </w:rPr>
        <w:t xml:space="preserve">9/2013 Sb. a </w:t>
      </w:r>
      <w:r w:rsidR="00EA55D6">
        <w:rPr>
          <w:rFonts w:ascii="Arial" w:eastAsia="Arial" w:hAnsi="Arial" w:cs="Arial"/>
        </w:rPr>
        <w:t xml:space="preserve">č. </w:t>
      </w:r>
      <w:r w:rsidRPr="004D07DE">
        <w:rPr>
          <w:rFonts w:ascii="Arial" w:eastAsia="Arial" w:hAnsi="Arial" w:cs="Arial"/>
        </w:rPr>
        <w:t>32/2016 Sb.</w:t>
      </w:r>
    </w:p>
    <w:p w:rsidR="00EC54B1" w:rsidRPr="004D07DE" w:rsidRDefault="00EC54B1" w:rsidP="004D07D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F748FD" w:rsidRPr="004D07DE" w:rsidRDefault="00E53B89" w:rsidP="004D07DE">
      <w:pPr>
        <w:widowControl w:val="0"/>
        <w:suppressAutoHyphens/>
        <w:spacing w:after="0" w:line="240" w:lineRule="auto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>A</w:t>
      </w:r>
      <w:r w:rsidR="00B2245C" w:rsidRPr="004D07DE">
        <w:rPr>
          <w:rFonts w:ascii="Arial" w:eastAsia="Arial" w:hAnsi="Arial" w:cs="Arial"/>
          <w:b/>
        </w:rPr>
        <w:t>. Obecná část</w:t>
      </w:r>
    </w:p>
    <w:p w:rsidR="00F748FD" w:rsidRPr="004D07DE" w:rsidRDefault="00F748FD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F748FD" w:rsidRPr="004D07DE" w:rsidRDefault="00E53B89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>1.</w:t>
      </w:r>
      <w:r w:rsidR="00B2245C" w:rsidRPr="004D07DE">
        <w:rPr>
          <w:rFonts w:ascii="Arial" w:eastAsia="Arial" w:hAnsi="Arial" w:cs="Arial"/>
          <w:b/>
        </w:rPr>
        <w:t xml:space="preserve"> Vysvětlení nezbytnosti navrhované právní úpravy, odůvodnění jejích hlavních principů</w:t>
      </w:r>
    </w:p>
    <w:p w:rsidR="00F748FD" w:rsidRPr="004D07DE" w:rsidRDefault="00F748FD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256A32" w:rsidRPr="004D07DE" w:rsidRDefault="00256A32" w:rsidP="004D07DE">
      <w:pPr>
        <w:spacing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 xml:space="preserve">Hlavním důvodem návrhu novely nařízení vlády č. 361/2007 Sb., kterým se stanoví podmínky ochrany zdraví při práci, je povinnost </w:t>
      </w:r>
      <w:r w:rsidR="0052204E" w:rsidRPr="004D07DE">
        <w:rPr>
          <w:rFonts w:ascii="Arial" w:eastAsia="Arial" w:hAnsi="Arial" w:cs="Arial"/>
        </w:rPr>
        <w:t xml:space="preserve">členských států </w:t>
      </w:r>
      <w:r w:rsidRPr="004D07DE">
        <w:rPr>
          <w:rFonts w:ascii="Arial" w:eastAsia="Arial" w:hAnsi="Arial" w:cs="Arial"/>
        </w:rPr>
        <w:t xml:space="preserve">harmonizovat český právní předpis s právem Evropské unie, konkrétně pak transponovat čtvrtý směrný seznam limitních hodnot expozice na pracovišti v souladu </w:t>
      </w:r>
      <w:r w:rsidR="009C5A7E" w:rsidRPr="004D07DE">
        <w:rPr>
          <w:rFonts w:ascii="Arial" w:eastAsia="Arial" w:hAnsi="Arial" w:cs="Arial"/>
        </w:rPr>
        <w:t xml:space="preserve">s </w:t>
      </w:r>
      <w:r w:rsidR="00FF7429" w:rsidRPr="004D07DE">
        <w:rPr>
          <w:rFonts w:ascii="Arial" w:eastAsia="Arial" w:hAnsi="Arial" w:cs="Arial"/>
        </w:rPr>
        <w:t>uveden</w:t>
      </w:r>
      <w:r w:rsidR="009C5A7E" w:rsidRPr="004D07DE">
        <w:rPr>
          <w:rFonts w:ascii="Arial" w:eastAsia="Arial" w:hAnsi="Arial" w:cs="Arial"/>
        </w:rPr>
        <w:t>ou</w:t>
      </w:r>
      <w:r w:rsidRPr="004D07DE">
        <w:rPr>
          <w:rFonts w:ascii="Arial" w:eastAsia="Arial" w:hAnsi="Arial" w:cs="Arial"/>
        </w:rPr>
        <w:t xml:space="preserve"> směrnicí Komise (EU) 2017/164 ze dne 31. ledna 2017, kterou se stanoví čtvrtý seznam směrných limitních hodnot expozice na pracovišti podle směrnice Rady 98/24/ES a kterou se mění směrnice Komise 91/322/EHS, 2000/39/ES a 2009/161/EU. </w:t>
      </w:r>
    </w:p>
    <w:p w:rsidR="007356DD" w:rsidRPr="004D07DE" w:rsidRDefault="007356DD" w:rsidP="004D07DE">
      <w:pPr>
        <w:spacing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 xml:space="preserve">Směrnice Komise (EU) 2017/164 zavádí či upravuje </w:t>
      </w:r>
      <w:r w:rsidR="0052204E" w:rsidRPr="004D07DE">
        <w:rPr>
          <w:rFonts w:ascii="Arial" w:eastAsia="Arial" w:hAnsi="Arial" w:cs="Arial"/>
        </w:rPr>
        <w:t xml:space="preserve">stávající </w:t>
      </w:r>
      <w:r w:rsidRPr="004D07DE">
        <w:rPr>
          <w:rFonts w:ascii="Arial" w:eastAsia="Arial" w:hAnsi="Arial" w:cs="Arial"/>
        </w:rPr>
        <w:t xml:space="preserve">limitní hodnoty </w:t>
      </w:r>
      <w:r w:rsidR="00880D7A" w:rsidRPr="004D07DE">
        <w:rPr>
          <w:rFonts w:ascii="Arial" w:eastAsia="Arial" w:hAnsi="Arial" w:cs="Arial"/>
        </w:rPr>
        <w:t xml:space="preserve">zejména pro </w:t>
      </w:r>
      <w:r w:rsidRPr="004D07DE">
        <w:rPr>
          <w:rFonts w:ascii="Arial" w:eastAsia="Arial" w:hAnsi="Arial" w:cs="Arial"/>
        </w:rPr>
        <w:t xml:space="preserve">mangan, nitroglycerin, chlorid uhličitý, </w:t>
      </w:r>
      <w:proofErr w:type="spellStart"/>
      <w:r w:rsidRPr="004D07DE">
        <w:rPr>
          <w:rFonts w:ascii="Arial" w:eastAsia="Arial" w:hAnsi="Arial" w:cs="Arial"/>
        </w:rPr>
        <w:t>amitrol</w:t>
      </w:r>
      <w:proofErr w:type="spellEnd"/>
      <w:r w:rsidRPr="004D07DE">
        <w:rPr>
          <w:rFonts w:ascii="Arial" w:eastAsia="Arial" w:hAnsi="Arial" w:cs="Arial"/>
        </w:rPr>
        <w:t xml:space="preserve">, kyselinu octovou, kyanovodík (jako kyanid), kyanid draselný a sodný, oxid vápenatý, hydroxid vápenatý, </w:t>
      </w:r>
      <w:proofErr w:type="spellStart"/>
      <w:r w:rsidRPr="004D07DE">
        <w:rPr>
          <w:rFonts w:ascii="Arial" w:eastAsia="Arial" w:hAnsi="Arial" w:cs="Arial"/>
        </w:rPr>
        <w:t>butanedion</w:t>
      </w:r>
      <w:proofErr w:type="spellEnd"/>
      <w:r w:rsidRPr="004D07DE">
        <w:rPr>
          <w:rFonts w:ascii="Arial" w:eastAsia="Arial" w:hAnsi="Arial" w:cs="Arial"/>
        </w:rPr>
        <w:t xml:space="preserve">, oxid uhelnatý, vápenatý, siřičitý a dusnatý, hydroxid lithný </w:t>
      </w:r>
      <w:proofErr w:type="spellStart"/>
      <w:r w:rsidRPr="004D07DE">
        <w:rPr>
          <w:rFonts w:ascii="Arial" w:eastAsia="Arial" w:hAnsi="Arial" w:cs="Arial"/>
        </w:rPr>
        <w:t>methylenchlorid</w:t>
      </w:r>
      <w:proofErr w:type="spellEnd"/>
      <w:r w:rsidRPr="004D07DE">
        <w:rPr>
          <w:rFonts w:ascii="Arial" w:eastAsia="Arial" w:hAnsi="Arial" w:cs="Arial"/>
        </w:rPr>
        <w:t xml:space="preserve">, </w:t>
      </w:r>
      <w:proofErr w:type="spellStart"/>
      <w:r w:rsidRPr="004D07DE">
        <w:rPr>
          <w:rFonts w:ascii="Arial" w:eastAsia="Arial" w:hAnsi="Arial" w:cs="Arial"/>
        </w:rPr>
        <w:t>dichlormethan</w:t>
      </w:r>
      <w:proofErr w:type="spellEnd"/>
      <w:r w:rsidRPr="004D07DE">
        <w:rPr>
          <w:rFonts w:ascii="Arial" w:eastAsia="Arial" w:hAnsi="Arial" w:cs="Arial"/>
        </w:rPr>
        <w:t xml:space="preserve">, </w:t>
      </w:r>
      <w:proofErr w:type="spellStart"/>
      <w:r w:rsidRPr="004D07DE">
        <w:rPr>
          <w:rFonts w:ascii="Arial" w:eastAsia="Arial" w:hAnsi="Arial" w:cs="Arial"/>
        </w:rPr>
        <w:t>vinylidenchlorid</w:t>
      </w:r>
      <w:proofErr w:type="spellEnd"/>
      <w:r w:rsidRPr="004D07DE">
        <w:rPr>
          <w:rFonts w:ascii="Arial" w:eastAsia="Arial" w:hAnsi="Arial" w:cs="Arial"/>
        </w:rPr>
        <w:t xml:space="preserve">, </w:t>
      </w:r>
      <w:proofErr w:type="spellStart"/>
      <w:r w:rsidRPr="004D07DE">
        <w:rPr>
          <w:rFonts w:ascii="Arial" w:eastAsia="Arial" w:hAnsi="Arial" w:cs="Arial"/>
        </w:rPr>
        <w:t>bisfenol</w:t>
      </w:r>
      <w:proofErr w:type="spellEnd"/>
      <w:r w:rsidRPr="004D07DE">
        <w:rPr>
          <w:rFonts w:ascii="Arial" w:eastAsia="Arial" w:hAnsi="Arial" w:cs="Arial"/>
        </w:rPr>
        <w:t xml:space="preserve"> A, </w:t>
      </w:r>
      <w:r w:rsidR="00E85DFB" w:rsidRPr="004D07DE">
        <w:rPr>
          <w:rFonts w:ascii="Arial" w:eastAsia="Arial" w:hAnsi="Arial" w:cs="Arial"/>
        </w:rPr>
        <w:t xml:space="preserve">1,1 </w:t>
      </w:r>
      <w:proofErr w:type="spellStart"/>
      <w:r w:rsidR="00E85DFB" w:rsidRPr="004D07DE">
        <w:rPr>
          <w:rFonts w:ascii="Arial" w:eastAsia="Arial" w:hAnsi="Arial" w:cs="Arial"/>
        </w:rPr>
        <w:t>d</w:t>
      </w:r>
      <w:r w:rsidRPr="004D07DE">
        <w:rPr>
          <w:rFonts w:ascii="Arial" w:eastAsia="Arial" w:hAnsi="Arial" w:cs="Arial"/>
        </w:rPr>
        <w:t>ichlorethylen</w:t>
      </w:r>
      <w:proofErr w:type="spellEnd"/>
      <w:r w:rsidRPr="004D07DE">
        <w:rPr>
          <w:rFonts w:ascii="Arial" w:eastAsia="Arial" w:hAnsi="Arial" w:cs="Arial"/>
        </w:rPr>
        <w:t xml:space="preserve">. </w:t>
      </w:r>
      <w:r w:rsidR="00880D7A" w:rsidRPr="004D07DE">
        <w:rPr>
          <w:rFonts w:ascii="Arial" w:eastAsia="Arial" w:hAnsi="Arial" w:cs="Arial"/>
        </w:rPr>
        <w:t xml:space="preserve">Dále umožňuje při hlubinné těžbě a ražení tunelů využít přechodného období pro účinnost </w:t>
      </w:r>
      <w:r w:rsidR="002203D9" w:rsidRPr="004D07DE">
        <w:rPr>
          <w:rFonts w:ascii="Arial" w:eastAsia="Arial" w:hAnsi="Arial" w:cs="Arial"/>
        </w:rPr>
        <w:t xml:space="preserve">limitních hodnot oxidu dusnatého, oxidu dusičitého a oxidu uhelnatého, která končí nejpozději dne 21. srpna 2023. Členský stát může pro oxid dusnatý využít stávající limitní hodnotu stanovenou přílohou směrnice </w:t>
      </w:r>
      <w:r w:rsidR="001E6E78" w:rsidRPr="004D07DE">
        <w:rPr>
          <w:rFonts w:ascii="Arial" w:eastAsia="Arial" w:hAnsi="Arial" w:cs="Arial"/>
        </w:rPr>
        <w:t>Komise ze dne 29. května 1991 o stanovení směrných limitních hodnot prováděním směrnice Rady 80/1107/EHS o ochraně zamě</w:t>
      </w:r>
      <w:r w:rsidR="00BC0E42" w:rsidRPr="004D07DE">
        <w:rPr>
          <w:rFonts w:ascii="Arial" w:eastAsia="Arial" w:hAnsi="Arial" w:cs="Arial"/>
        </w:rPr>
        <w:t>stnanců před riziky spojenými s </w:t>
      </w:r>
      <w:r w:rsidR="001E6E78" w:rsidRPr="004D07DE">
        <w:rPr>
          <w:rFonts w:ascii="Arial" w:eastAsia="Arial" w:hAnsi="Arial" w:cs="Arial"/>
        </w:rPr>
        <w:t>expozicí chemickým, fyzikálním a biologickým činitelům při práci. Pro oxid dusičitý a oxid uhelnatý mohou členské státy nastavit do 21. srpna 2023 ná</w:t>
      </w:r>
      <w:r w:rsidR="00A80A3D" w:rsidRPr="004D07DE">
        <w:rPr>
          <w:rFonts w:ascii="Arial" w:eastAsia="Arial" w:hAnsi="Arial" w:cs="Arial"/>
        </w:rPr>
        <w:t>rodní limitní hodnoty platné ke </w:t>
      </w:r>
      <w:r w:rsidR="001E6E78" w:rsidRPr="004D07DE">
        <w:rPr>
          <w:rFonts w:ascii="Arial" w:eastAsia="Arial" w:hAnsi="Arial" w:cs="Arial"/>
        </w:rPr>
        <w:t xml:space="preserve">dni 1. února 2017. </w:t>
      </w:r>
    </w:p>
    <w:p w:rsidR="00D249D6" w:rsidRPr="004D07DE" w:rsidRDefault="009430BB" w:rsidP="004D07DE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F207F0" w:rsidRPr="004D07DE">
        <w:rPr>
          <w:rFonts w:ascii="Arial" w:eastAsia="Arial" w:hAnsi="Arial" w:cs="Arial"/>
        </w:rPr>
        <w:t xml:space="preserve">o návrhu novely nařízení vlády </w:t>
      </w:r>
      <w:r>
        <w:rPr>
          <w:rFonts w:ascii="Arial" w:eastAsia="Arial" w:hAnsi="Arial" w:cs="Arial"/>
        </w:rPr>
        <w:t xml:space="preserve">byl dále v návaznosti na potřeby praxe </w:t>
      </w:r>
      <w:r w:rsidR="00F207F0" w:rsidRPr="004D07DE">
        <w:rPr>
          <w:rFonts w:ascii="Arial" w:eastAsia="Arial" w:hAnsi="Arial" w:cs="Arial"/>
        </w:rPr>
        <w:t>zapracován</w:t>
      </w:r>
      <w:r w:rsidR="00790044" w:rsidRPr="004D07DE">
        <w:rPr>
          <w:rFonts w:ascii="Arial" w:eastAsia="Arial" w:hAnsi="Arial" w:cs="Arial"/>
        </w:rPr>
        <w:t xml:space="preserve"> postup pro hodnocení rizik, resp. objektivní ověření</w:t>
      </w:r>
      <w:r w:rsidR="00B3098B" w:rsidRPr="004D07DE">
        <w:rPr>
          <w:rFonts w:ascii="Arial" w:eastAsia="Arial" w:hAnsi="Arial" w:cs="Arial"/>
        </w:rPr>
        <w:t xml:space="preserve"> faktoru lokální svalová zátěž u </w:t>
      </w:r>
      <w:r w:rsidR="00790044" w:rsidRPr="004D07DE">
        <w:rPr>
          <w:rFonts w:ascii="Arial" w:eastAsia="Arial" w:hAnsi="Arial" w:cs="Arial"/>
        </w:rPr>
        <w:t>nerizikové práce p</w:t>
      </w:r>
      <w:r w:rsidR="00B3098B" w:rsidRPr="004D07DE">
        <w:rPr>
          <w:rFonts w:ascii="Arial" w:eastAsia="Arial" w:hAnsi="Arial" w:cs="Arial"/>
        </w:rPr>
        <w:t xml:space="preserve">ro </w:t>
      </w:r>
      <w:r w:rsidR="00F207F0" w:rsidRPr="004D07DE">
        <w:rPr>
          <w:rFonts w:ascii="Arial" w:eastAsia="Arial" w:hAnsi="Arial" w:cs="Arial"/>
        </w:rPr>
        <w:t>kategorizac</w:t>
      </w:r>
      <w:r w:rsidR="00B3098B" w:rsidRPr="004D07DE">
        <w:rPr>
          <w:rFonts w:ascii="Arial" w:eastAsia="Arial" w:hAnsi="Arial" w:cs="Arial"/>
        </w:rPr>
        <w:t xml:space="preserve">i práce </w:t>
      </w:r>
      <w:r w:rsidR="00790044" w:rsidRPr="004D07DE">
        <w:rPr>
          <w:rFonts w:ascii="Arial" w:eastAsia="Arial" w:hAnsi="Arial" w:cs="Arial"/>
        </w:rPr>
        <w:t>podle zákona o ochraně veřejného zdraví</w:t>
      </w:r>
      <w:r w:rsidR="00B3098B" w:rsidRPr="004D07DE">
        <w:rPr>
          <w:rFonts w:ascii="Arial" w:eastAsia="Arial" w:hAnsi="Arial" w:cs="Arial"/>
        </w:rPr>
        <w:t xml:space="preserve">. Dále byla příloha </w:t>
      </w:r>
      <w:proofErr w:type="gramStart"/>
      <w:r w:rsidR="00B3098B" w:rsidRPr="004D07DE">
        <w:rPr>
          <w:rFonts w:ascii="Arial" w:eastAsia="Arial" w:hAnsi="Arial" w:cs="Arial"/>
        </w:rPr>
        <w:t>č. 2 část</w:t>
      </w:r>
      <w:proofErr w:type="gramEnd"/>
      <w:r w:rsidR="00B3098B" w:rsidRPr="004D07DE">
        <w:rPr>
          <w:rFonts w:ascii="Arial" w:eastAsia="Arial" w:hAnsi="Arial" w:cs="Arial"/>
        </w:rPr>
        <w:t xml:space="preserve"> A </w:t>
      </w:r>
      <w:r w:rsidR="00AE0DF5" w:rsidRPr="004D07DE">
        <w:rPr>
          <w:rFonts w:ascii="Arial" w:eastAsia="Arial" w:hAnsi="Arial" w:cs="Arial"/>
        </w:rPr>
        <w:t xml:space="preserve">„Seznam chemických látek a jejich přípustné expoziční limity (PEL) a nejvyšší přípustné koncentrace v pracovním prostředí (NPK-P)“ </w:t>
      </w:r>
      <w:r w:rsidR="00481146" w:rsidRPr="004D07DE">
        <w:rPr>
          <w:rFonts w:ascii="Arial" w:eastAsia="Arial" w:hAnsi="Arial" w:cs="Arial"/>
        </w:rPr>
        <w:t>uvedena</w:t>
      </w:r>
      <w:r w:rsidR="00AE0DF5" w:rsidRPr="004D07DE">
        <w:rPr>
          <w:rFonts w:ascii="Arial" w:eastAsia="Arial" w:hAnsi="Arial" w:cs="Arial"/>
        </w:rPr>
        <w:t xml:space="preserve"> do </w:t>
      </w:r>
      <w:r w:rsidR="00F207F0" w:rsidRPr="004D07DE">
        <w:rPr>
          <w:rFonts w:ascii="Arial" w:eastAsia="Arial" w:hAnsi="Arial" w:cs="Arial"/>
        </w:rPr>
        <w:t>souladu s přílohou č. 2 vyhlášky č.</w:t>
      </w:r>
      <w:r w:rsidR="00874B6B">
        <w:rPr>
          <w:rFonts w:ascii="Arial" w:eastAsia="Arial" w:hAnsi="Arial" w:cs="Arial"/>
        </w:rPr>
        <w:t> </w:t>
      </w:r>
      <w:r w:rsidR="00F207F0" w:rsidRPr="004D07DE">
        <w:rPr>
          <w:rFonts w:ascii="Arial" w:eastAsia="Arial" w:hAnsi="Arial" w:cs="Arial"/>
        </w:rPr>
        <w:t>432/2003 Sb., kterou se stanoví podmínky pro zařazování prací do kategorií, limitní hodnoty ukazatelů biologických expozičních testů, podmínky odběru biologického materiálu pro provádění biologických expozičních testů a náležitosti hlášení prací s azbestem a biologickými činiteli, ve znění pozdějších předpisů</w:t>
      </w:r>
      <w:r w:rsidR="00AE0DF5" w:rsidRPr="004D07DE">
        <w:rPr>
          <w:rFonts w:ascii="Arial" w:eastAsia="Arial" w:hAnsi="Arial" w:cs="Arial"/>
        </w:rPr>
        <w:t xml:space="preserve">. Příloha č. 2, část A byla doplněna ve sloupci „poznámka“ o značku B, tedy možnost provedení BET Biologického expozičního testu v souladu s vyhláškou </w:t>
      </w:r>
      <w:r w:rsidR="00600B2D" w:rsidRPr="004D07DE">
        <w:rPr>
          <w:rFonts w:ascii="Arial" w:eastAsia="Arial" w:hAnsi="Arial" w:cs="Arial"/>
        </w:rPr>
        <w:t>č. </w:t>
      </w:r>
      <w:r w:rsidR="00AE0DF5" w:rsidRPr="004D07DE">
        <w:rPr>
          <w:rFonts w:ascii="Arial" w:eastAsia="Arial" w:hAnsi="Arial" w:cs="Arial"/>
        </w:rPr>
        <w:t>432/2003 Sb. a přílohou č. 2 vyhlášky, kde je uveden výčet chemických látek, u nichž se BET provádí.</w:t>
      </w:r>
      <w:r w:rsidR="00F207F0" w:rsidRPr="004D07DE">
        <w:rPr>
          <w:rFonts w:ascii="Arial" w:eastAsia="Arial" w:hAnsi="Arial" w:cs="Arial"/>
        </w:rPr>
        <w:t xml:space="preserve"> </w:t>
      </w:r>
      <w:r w:rsidR="00F40BA9" w:rsidRPr="004D07DE">
        <w:rPr>
          <w:rFonts w:ascii="Arial" w:eastAsia="Arial" w:hAnsi="Arial" w:cs="Arial"/>
        </w:rPr>
        <w:t>Je žádoucí, aby seznam přílohy č. 2 vyhlášky kore</w:t>
      </w:r>
      <w:r w:rsidR="00E85DFB" w:rsidRPr="004D07DE">
        <w:rPr>
          <w:rFonts w:ascii="Arial" w:eastAsia="Arial" w:hAnsi="Arial" w:cs="Arial"/>
        </w:rPr>
        <w:t>loval s přílohou č. 2 částí A </w:t>
      </w:r>
      <w:r w:rsidR="00F40BA9" w:rsidRPr="004D07DE">
        <w:rPr>
          <w:rFonts w:ascii="Arial" w:eastAsia="Arial" w:hAnsi="Arial" w:cs="Arial"/>
        </w:rPr>
        <w:t>nařízení vlády.</w:t>
      </w:r>
    </w:p>
    <w:p w:rsidR="00FF7429" w:rsidRPr="004D07DE" w:rsidRDefault="00FF7429" w:rsidP="004D07DE">
      <w:pPr>
        <w:pStyle w:val="Default"/>
        <w:rPr>
          <w:rFonts w:ascii="Arial" w:eastAsia="Arial" w:hAnsi="Arial" w:cs="Arial"/>
          <w:sz w:val="22"/>
          <w:szCs w:val="22"/>
        </w:rPr>
      </w:pPr>
    </w:p>
    <w:p w:rsidR="00F748FD" w:rsidRPr="004D07DE" w:rsidRDefault="00E53B89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>2.</w:t>
      </w:r>
      <w:r w:rsidR="00B2245C" w:rsidRPr="004D07DE">
        <w:rPr>
          <w:rFonts w:ascii="Arial" w:eastAsia="Arial" w:hAnsi="Arial" w:cs="Arial"/>
          <w:b/>
        </w:rPr>
        <w:t xml:space="preserve"> Zhodnocení souladu navrhované právní úpravy se zákonem, k jehož provedení je navržena, včetně souladu se zákonným zmocněním k jejímu vydání </w:t>
      </w:r>
    </w:p>
    <w:p w:rsidR="002D25B9" w:rsidRDefault="00B2245C" w:rsidP="00086DEA">
      <w:pPr>
        <w:widowControl w:val="0"/>
        <w:tabs>
          <w:tab w:val="left" w:pos="6660"/>
        </w:tabs>
        <w:suppressAutoHyphens/>
        <w:spacing w:before="120" w:after="12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 xml:space="preserve">Předložený návrh </w:t>
      </w:r>
      <w:r w:rsidR="003F0529" w:rsidRPr="004D07DE">
        <w:rPr>
          <w:rFonts w:ascii="Arial" w:eastAsia="Arial" w:hAnsi="Arial" w:cs="Arial"/>
        </w:rPr>
        <w:t>nařízení vlády</w:t>
      </w:r>
      <w:r w:rsidRPr="004D07DE">
        <w:rPr>
          <w:rFonts w:ascii="Arial" w:eastAsia="Arial" w:hAnsi="Arial" w:cs="Arial"/>
        </w:rPr>
        <w:t>, kter</w:t>
      </w:r>
      <w:r w:rsidR="003F0529" w:rsidRPr="004D07DE">
        <w:rPr>
          <w:rFonts w:ascii="Arial" w:eastAsia="Arial" w:hAnsi="Arial" w:cs="Arial"/>
        </w:rPr>
        <w:t>ým</w:t>
      </w:r>
      <w:r w:rsidRPr="004D07DE">
        <w:rPr>
          <w:rFonts w:ascii="Arial" w:eastAsia="Arial" w:hAnsi="Arial" w:cs="Arial"/>
        </w:rPr>
        <w:t xml:space="preserve"> se mění</w:t>
      </w:r>
      <w:r w:rsidR="003F0529" w:rsidRPr="004D07DE">
        <w:rPr>
          <w:rFonts w:ascii="Arial" w:eastAsia="Arial" w:hAnsi="Arial" w:cs="Arial"/>
        </w:rPr>
        <w:t xml:space="preserve"> nařízení vlády č. 361/2007 Sb.</w:t>
      </w:r>
      <w:r w:rsidRPr="004D07DE">
        <w:rPr>
          <w:rFonts w:ascii="Arial" w:eastAsia="Arial" w:hAnsi="Arial" w:cs="Arial"/>
        </w:rPr>
        <w:t xml:space="preserve"> respektuje rozsah a</w:t>
      </w:r>
      <w:r w:rsidR="00C608A4" w:rsidRPr="004D07DE">
        <w:rPr>
          <w:rFonts w:ascii="Arial" w:eastAsia="Arial" w:hAnsi="Arial" w:cs="Arial"/>
        </w:rPr>
        <w:t> </w:t>
      </w:r>
      <w:r w:rsidRPr="004D07DE">
        <w:rPr>
          <w:rFonts w:ascii="Arial" w:eastAsia="Arial" w:hAnsi="Arial" w:cs="Arial"/>
        </w:rPr>
        <w:t>meze zákonného zmocnění podle ustanovení</w:t>
      </w:r>
      <w:r w:rsidR="00364B29" w:rsidRPr="004D07DE">
        <w:rPr>
          <w:rFonts w:ascii="Arial" w:eastAsia="Arial" w:hAnsi="Arial" w:cs="Arial"/>
        </w:rPr>
        <w:t xml:space="preserve"> § </w:t>
      </w:r>
      <w:r w:rsidR="003F0529" w:rsidRPr="004D07DE">
        <w:rPr>
          <w:rFonts w:ascii="Arial" w:eastAsia="Arial" w:hAnsi="Arial" w:cs="Arial"/>
        </w:rPr>
        <w:t xml:space="preserve">21 písm. a) </w:t>
      </w:r>
      <w:r w:rsidR="00E85DFB" w:rsidRPr="004D07DE">
        <w:rPr>
          <w:rFonts w:ascii="Arial" w:eastAsia="Arial" w:hAnsi="Arial" w:cs="Arial"/>
        </w:rPr>
        <w:t>zákona č. </w:t>
      </w:r>
      <w:r w:rsidRPr="004D07DE">
        <w:rPr>
          <w:rFonts w:ascii="Arial" w:eastAsia="Arial" w:hAnsi="Arial" w:cs="Arial"/>
        </w:rPr>
        <w:t>3</w:t>
      </w:r>
      <w:r w:rsidR="003F0529" w:rsidRPr="004D07DE">
        <w:rPr>
          <w:rFonts w:ascii="Arial" w:eastAsia="Arial" w:hAnsi="Arial" w:cs="Arial"/>
        </w:rPr>
        <w:t>09/2006</w:t>
      </w:r>
      <w:r w:rsidR="00E85DFB" w:rsidRPr="004D07DE">
        <w:rPr>
          <w:rFonts w:ascii="Arial" w:eastAsia="Arial" w:hAnsi="Arial" w:cs="Arial"/>
        </w:rPr>
        <w:t> </w:t>
      </w:r>
      <w:r w:rsidR="009A5F29">
        <w:rPr>
          <w:rFonts w:ascii="Arial" w:eastAsia="Arial" w:hAnsi="Arial" w:cs="Arial"/>
        </w:rPr>
        <w:t>Sb., který provádí</w:t>
      </w:r>
      <w:r w:rsidR="00086DEA">
        <w:rPr>
          <w:rFonts w:ascii="Arial" w:eastAsia="Arial" w:hAnsi="Arial" w:cs="Arial"/>
        </w:rPr>
        <w:t xml:space="preserve">, dále se vydává v souladu se zákoníkem práce k provedení </w:t>
      </w:r>
      <w:r w:rsidR="00086DEA">
        <w:rPr>
          <w:rFonts w:ascii="Arial" w:eastAsia="Arial" w:hAnsi="Arial" w:cs="Arial"/>
        </w:rPr>
        <w:lastRenderedPageBreak/>
        <w:t>jeho</w:t>
      </w:r>
      <w:r w:rsidR="009A5F29">
        <w:rPr>
          <w:rFonts w:ascii="Arial" w:eastAsia="Arial" w:hAnsi="Arial" w:cs="Arial"/>
        </w:rPr>
        <w:t xml:space="preserve"> </w:t>
      </w:r>
      <w:r w:rsidR="00B319DA" w:rsidRPr="00B319DA">
        <w:rPr>
          <w:rFonts w:ascii="Arial" w:eastAsia="Arial" w:hAnsi="Arial" w:cs="Arial"/>
        </w:rPr>
        <w:t>§ 102 odst. 3</w:t>
      </w:r>
      <w:r w:rsidR="00A33467">
        <w:rPr>
          <w:rFonts w:ascii="Arial" w:eastAsia="Arial" w:hAnsi="Arial" w:cs="Arial"/>
        </w:rPr>
        <w:t>,</w:t>
      </w:r>
      <w:r w:rsidR="00086DEA">
        <w:rPr>
          <w:rFonts w:ascii="Arial" w:eastAsia="Arial" w:hAnsi="Arial" w:cs="Arial"/>
        </w:rPr>
        <w:t xml:space="preserve"> který upravuje povinnost z</w:t>
      </w:r>
      <w:r w:rsidR="00086DEA" w:rsidRPr="00086DEA">
        <w:rPr>
          <w:rFonts w:ascii="Arial" w:eastAsia="Arial" w:hAnsi="Arial" w:cs="Arial"/>
        </w:rPr>
        <w:t>aměstnavatel</w:t>
      </w:r>
      <w:r w:rsidR="00086DEA">
        <w:rPr>
          <w:rFonts w:ascii="Arial" w:eastAsia="Arial" w:hAnsi="Arial" w:cs="Arial"/>
        </w:rPr>
        <w:t>e</w:t>
      </w:r>
      <w:r w:rsidR="00086DEA" w:rsidRPr="00086DEA">
        <w:rPr>
          <w:rFonts w:ascii="Arial" w:eastAsia="Arial" w:hAnsi="Arial" w:cs="Arial"/>
        </w:rPr>
        <w:t xml:space="preserve"> soustavně vyhledávat nebezpečné činitele a procesy pracovního prostředí a pracovních podmínek, zjišťovat jejich příčiny a zdroje. Na základě tohoto zjištění </w:t>
      </w:r>
      <w:r w:rsidR="00086DEA">
        <w:rPr>
          <w:rFonts w:ascii="Arial" w:eastAsia="Arial" w:hAnsi="Arial" w:cs="Arial"/>
        </w:rPr>
        <w:t xml:space="preserve">má </w:t>
      </w:r>
      <w:r w:rsidR="00086DEA" w:rsidRPr="00086DEA">
        <w:rPr>
          <w:rFonts w:ascii="Arial" w:eastAsia="Arial" w:hAnsi="Arial" w:cs="Arial"/>
        </w:rPr>
        <w:t>vyhledávat a hodnotit rizika a přijímat opatření k jejich odstranění a provádět taková opatření, aby v důsledku příznivějších pracovních podmínek a úrovně rozhodujících faktorů práce dosud zařazené podle zvláštního právního předpisu jako rizikové mohly být zařazeny do kategorie nižší. K tomu je povinen pravidelně kontrolovat úroveň bezpečnosti a ochrany zdraví při práci, zejména stav výrobních a pracovních prostředků a vybavení pracovišť a úroveň rizikových faktorů pracovních podmínek, a dodržovat metody a způsob zjištění a hodnocení rizikových faktorů podle zvláštního právního předpisu</w:t>
      </w:r>
      <w:r w:rsidR="00086DEA">
        <w:rPr>
          <w:rFonts w:ascii="Arial" w:eastAsia="Arial" w:hAnsi="Arial" w:cs="Arial"/>
        </w:rPr>
        <w:t>.</w:t>
      </w:r>
      <w:r w:rsidRPr="004D07DE">
        <w:rPr>
          <w:rFonts w:ascii="Arial" w:eastAsia="Arial" w:hAnsi="Arial" w:cs="Arial"/>
        </w:rPr>
        <w:t xml:space="preserve"> </w:t>
      </w:r>
    </w:p>
    <w:p w:rsidR="00086DEA" w:rsidRPr="00086DEA" w:rsidRDefault="00086DEA" w:rsidP="00086DEA">
      <w:pPr>
        <w:widowControl w:val="0"/>
        <w:tabs>
          <w:tab w:val="left" w:pos="6660"/>
        </w:tabs>
        <w:suppressAutoHyphens/>
        <w:spacing w:before="120" w:after="120" w:line="240" w:lineRule="auto"/>
        <w:jc w:val="both"/>
        <w:rPr>
          <w:rFonts w:ascii="Arial" w:eastAsia="Arial" w:hAnsi="Arial" w:cs="Arial"/>
        </w:rPr>
      </w:pPr>
    </w:p>
    <w:p w:rsidR="00F748FD" w:rsidRPr="004D07DE" w:rsidRDefault="00E53B89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>3.</w:t>
      </w:r>
      <w:r w:rsidR="00B2245C" w:rsidRPr="004D07DE">
        <w:rPr>
          <w:rFonts w:ascii="Arial" w:eastAsia="Arial" w:hAnsi="Arial" w:cs="Arial"/>
          <w:b/>
        </w:rPr>
        <w:t xml:space="preserve"> Zhodnocení souladu navrhované právní úpravy s předpisy Evropské unie, judikaturou soudních orgánů Evropské unie a obecnými právními zásadami práva Evropské unie </w:t>
      </w:r>
      <w:r w:rsidR="0070279E" w:rsidRPr="004D07DE">
        <w:rPr>
          <w:rFonts w:ascii="Arial" w:eastAsia="Arial" w:hAnsi="Arial" w:cs="Arial"/>
          <w:b/>
        </w:rPr>
        <w:t>a mezinárodními smlouvami</w:t>
      </w:r>
    </w:p>
    <w:p w:rsidR="00F748FD" w:rsidRPr="004D07DE" w:rsidRDefault="00481146" w:rsidP="004D07DE">
      <w:pPr>
        <w:widowControl w:val="0"/>
        <w:suppressAutoHyphens/>
        <w:spacing w:before="120" w:after="0" w:line="240" w:lineRule="auto"/>
        <w:jc w:val="both"/>
        <w:rPr>
          <w:rStyle w:val="Siln"/>
          <w:rFonts w:ascii="Arial" w:hAnsi="Arial" w:cs="Arial"/>
          <w:b w:val="0"/>
        </w:rPr>
      </w:pPr>
      <w:r w:rsidRPr="004D07DE">
        <w:rPr>
          <w:rStyle w:val="Siln"/>
          <w:rFonts w:ascii="Arial" w:hAnsi="Arial" w:cs="Arial"/>
          <w:b w:val="0"/>
        </w:rPr>
        <w:t>Do návrhu</w:t>
      </w:r>
      <w:r w:rsidR="00B2245C" w:rsidRPr="004D07DE">
        <w:rPr>
          <w:rStyle w:val="Siln"/>
          <w:rFonts w:ascii="Arial" w:hAnsi="Arial" w:cs="Arial"/>
          <w:b w:val="0"/>
        </w:rPr>
        <w:t xml:space="preserve"> novely </w:t>
      </w:r>
      <w:r w:rsidR="00A20FCB" w:rsidRPr="004D07DE">
        <w:rPr>
          <w:rStyle w:val="Siln"/>
          <w:rFonts w:ascii="Arial" w:hAnsi="Arial" w:cs="Arial"/>
          <w:b w:val="0"/>
        </w:rPr>
        <w:t>nařízení vlády č. 361/2007 Sb. je v </w:t>
      </w:r>
      <w:r w:rsidR="00A80A3D" w:rsidRPr="004D07DE">
        <w:rPr>
          <w:rStyle w:val="Siln"/>
          <w:rFonts w:ascii="Arial" w:hAnsi="Arial" w:cs="Arial"/>
          <w:b w:val="0"/>
        </w:rPr>
        <w:t xml:space="preserve">souladu s právem Evropské unie </w:t>
      </w:r>
      <w:r w:rsidR="00A20FCB" w:rsidRPr="004D07DE">
        <w:rPr>
          <w:rStyle w:val="Siln"/>
          <w:rFonts w:ascii="Arial" w:hAnsi="Arial" w:cs="Arial"/>
          <w:b w:val="0"/>
        </w:rPr>
        <w:t>provedena transpozice směrnice Komise.</w:t>
      </w:r>
      <w:r w:rsidR="00B2245C" w:rsidRPr="004D07DE">
        <w:rPr>
          <w:rStyle w:val="Siln"/>
          <w:rFonts w:ascii="Arial" w:hAnsi="Arial" w:cs="Arial"/>
          <w:b w:val="0"/>
        </w:rPr>
        <w:t xml:space="preserve"> </w:t>
      </w:r>
    </w:p>
    <w:p w:rsidR="00135748" w:rsidRPr="004D07DE" w:rsidRDefault="00135748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dstrike/>
        </w:rPr>
      </w:pPr>
    </w:p>
    <w:p w:rsidR="003124BD" w:rsidRPr="004D07DE" w:rsidRDefault="0070279E" w:rsidP="004D07DE">
      <w:pPr>
        <w:widowControl w:val="0"/>
        <w:suppressAutoHyphens/>
        <w:spacing w:after="0" w:line="240" w:lineRule="auto"/>
        <w:jc w:val="both"/>
        <w:rPr>
          <w:rStyle w:val="Siln"/>
          <w:rFonts w:ascii="Arial" w:hAnsi="Arial" w:cs="Arial"/>
          <w:b w:val="0"/>
        </w:rPr>
      </w:pPr>
      <w:r w:rsidRPr="004D07DE">
        <w:rPr>
          <w:rFonts w:ascii="Arial" w:eastAsia="Arial" w:hAnsi="Arial" w:cs="Arial"/>
        </w:rPr>
        <w:t xml:space="preserve">Návrh novely </w:t>
      </w:r>
      <w:r w:rsidR="003124BD" w:rsidRPr="004D07DE">
        <w:rPr>
          <w:rFonts w:ascii="Arial" w:eastAsia="Arial" w:hAnsi="Arial" w:cs="Arial"/>
        </w:rPr>
        <w:t xml:space="preserve">nařízení vlády </w:t>
      </w:r>
      <w:r w:rsidRPr="004D07DE">
        <w:rPr>
          <w:rFonts w:ascii="Arial" w:eastAsia="Arial" w:hAnsi="Arial" w:cs="Arial"/>
        </w:rPr>
        <w:t xml:space="preserve">zohledňuje požadavky </w:t>
      </w:r>
      <w:r w:rsidR="00E420AD" w:rsidRPr="004D07DE">
        <w:rPr>
          <w:rStyle w:val="Siln"/>
          <w:rFonts w:ascii="Arial" w:hAnsi="Arial" w:cs="Arial"/>
          <w:b w:val="0"/>
        </w:rPr>
        <w:t>směrnice Rady</w:t>
      </w:r>
      <w:r w:rsidR="003124BD" w:rsidRPr="004D07DE">
        <w:rPr>
          <w:rStyle w:val="Siln"/>
          <w:rFonts w:ascii="Arial" w:hAnsi="Arial" w:cs="Arial"/>
          <w:b w:val="0"/>
        </w:rPr>
        <w:t xml:space="preserve"> 98/24/ES </w:t>
      </w:r>
      <w:r w:rsidR="00A80A3D" w:rsidRPr="004D07DE">
        <w:rPr>
          <w:rStyle w:val="Siln"/>
          <w:rFonts w:ascii="Arial" w:hAnsi="Arial" w:cs="Arial"/>
          <w:b w:val="0"/>
        </w:rPr>
        <w:t>ze dne 7. </w:t>
      </w:r>
      <w:r w:rsidR="003124BD" w:rsidRPr="004D07DE">
        <w:rPr>
          <w:rStyle w:val="Siln"/>
          <w:rFonts w:ascii="Arial" w:hAnsi="Arial" w:cs="Arial"/>
          <w:b w:val="0"/>
        </w:rPr>
        <w:t xml:space="preserve">dubna 1998 o bezpečnosti a ochraně zdraví zaměstnanců před riziky spojenými s </w:t>
      </w:r>
      <w:r w:rsidR="00A80A3D" w:rsidRPr="004D07DE">
        <w:rPr>
          <w:rStyle w:val="Siln"/>
          <w:rFonts w:ascii="Arial" w:hAnsi="Arial" w:cs="Arial"/>
          <w:b w:val="0"/>
        </w:rPr>
        <w:t> </w:t>
      </w:r>
      <w:r w:rsidR="003124BD" w:rsidRPr="004D07DE">
        <w:rPr>
          <w:rStyle w:val="Siln"/>
          <w:rFonts w:ascii="Arial" w:hAnsi="Arial" w:cs="Arial"/>
          <w:b w:val="0"/>
        </w:rPr>
        <w:t>chemickými činiteli používanými při práci (čtrnáctá samostatná směrnice ve smyslu čl. 16 odst. 1 směrnice 89/391/EHS)</w:t>
      </w:r>
      <w:r w:rsidR="00A20FCB" w:rsidRPr="004D07DE">
        <w:rPr>
          <w:rStyle w:val="Siln"/>
          <w:rFonts w:ascii="Arial" w:hAnsi="Arial" w:cs="Arial"/>
          <w:b w:val="0"/>
        </w:rPr>
        <w:t>,</w:t>
      </w:r>
      <w:r w:rsidR="003124BD" w:rsidRPr="004D07DE">
        <w:rPr>
          <w:rStyle w:val="Siln"/>
          <w:rFonts w:ascii="Arial" w:hAnsi="Arial" w:cs="Arial"/>
          <w:b w:val="0"/>
        </w:rPr>
        <w:t xml:space="preserve"> podle které má Komise formou směrný</w:t>
      </w:r>
      <w:r w:rsidR="00A20FCB" w:rsidRPr="004D07DE">
        <w:rPr>
          <w:rStyle w:val="Siln"/>
          <w:rFonts w:ascii="Arial" w:hAnsi="Arial" w:cs="Arial"/>
          <w:b w:val="0"/>
        </w:rPr>
        <w:t>ch</w:t>
      </w:r>
      <w:r w:rsidR="003124BD" w:rsidRPr="004D07DE">
        <w:rPr>
          <w:rStyle w:val="Siln"/>
          <w:rFonts w:ascii="Arial" w:hAnsi="Arial" w:cs="Arial"/>
          <w:b w:val="0"/>
        </w:rPr>
        <w:t xml:space="preserve"> limitních hodnot expozice na pracovišti navrhnout unijní cíle ochrany zaměstnanců před riziky vyplývajícími z expozice nebezpečných chemických činitelů, které mají být stanoveny na úrovni EU.  </w:t>
      </w:r>
      <w:r w:rsidR="00E420AD" w:rsidRPr="004D07DE">
        <w:rPr>
          <w:rStyle w:val="Siln"/>
          <w:rFonts w:ascii="Arial" w:hAnsi="Arial" w:cs="Arial"/>
          <w:b w:val="0"/>
        </w:rPr>
        <w:t xml:space="preserve"> </w:t>
      </w:r>
    </w:p>
    <w:p w:rsidR="00151260" w:rsidRPr="004D07DE" w:rsidRDefault="00151260" w:rsidP="004D07DE">
      <w:pPr>
        <w:widowControl w:val="0"/>
        <w:suppressAutoHyphens/>
        <w:spacing w:after="0" w:line="240" w:lineRule="auto"/>
        <w:jc w:val="both"/>
        <w:rPr>
          <w:rStyle w:val="Siln"/>
          <w:rFonts w:ascii="Arial" w:hAnsi="Arial" w:cs="Arial"/>
          <w:b w:val="0"/>
        </w:rPr>
      </w:pPr>
      <w:r w:rsidRPr="004D07DE">
        <w:rPr>
          <w:rStyle w:val="Siln"/>
          <w:rFonts w:ascii="Arial" w:hAnsi="Arial" w:cs="Arial"/>
          <w:b w:val="0"/>
        </w:rPr>
        <w:t xml:space="preserve">Ustanovení čl. 3 odst. 2 směrnice 98/24/ES zmocňuje Komisi k tomu, aby uvedené limitní hodnoty zavedla nebo změnila prostřednictvím opatření přijatých postupem podle čl. 17 směrnice Rady 89/391/ EHS ze dne 12. června 1989 o zavádění opatření pro zlepšení bezpečnosti a ochrany zdraví zaměstnanců při práci s přihlédnutím k dostupným metodám měření. </w:t>
      </w:r>
    </w:p>
    <w:p w:rsidR="003124BD" w:rsidRPr="004D07DE" w:rsidRDefault="003124BD" w:rsidP="004D07DE">
      <w:pPr>
        <w:widowControl w:val="0"/>
        <w:suppressAutoHyphens/>
        <w:spacing w:after="0" w:line="240" w:lineRule="auto"/>
        <w:jc w:val="both"/>
        <w:rPr>
          <w:rStyle w:val="Siln"/>
          <w:rFonts w:ascii="Arial" w:hAnsi="Arial" w:cs="Arial"/>
          <w:b w:val="0"/>
        </w:rPr>
      </w:pPr>
    </w:p>
    <w:p w:rsidR="00432349" w:rsidRPr="004D07DE" w:rsidRDefault="004606CE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 xml:space="preserve">Návrh </w:t>
      </w:r>
      <w:r w:rsidR="00381647" w:rsidRPr="004D07DE">
        <w:rPr>
          <w:rFonts w:ascii="Arial" w:eastAsia="Arial" w:hAnsi="Arial" w:cs="Arial"/>
        </w:rPr>
        <w:t xml:space="preserve">nařízení vlády </w:t>
      </w:r>
      <w:r w:rsidRPr="004D07DE">
        <w:rPr>
          <w:rFonts w:ascii="Arial" w:eastAsia="Arial" w:hAnsi="Arial" w:cs="Arial"/>
        </w:rPr>
        <w:t xml:space="preserve">se dotýká oblastí upravených </w:t>
      </w:r>
    </w:p>
    <w:p w:rsidR="004C32D7" w:rsidRPr="004D07DE" w:rsidRDefault="00432349" w:rsidP="004D07DE">
      <w:pPr>
        <w:pStyle w:val="Odstavecseseznamem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>s</w:t>
      </w:r>
      <w:r w:rsidR="003425CB" w:rsidRPr="004D07DE">
        <w:rPr>
          <w:rFonts w:ascii="Arial" w:eastAsia="Arial" w:hAnsi="Arial" w:cs="Arial"/>
        </w:rPr>
        <w:t xml:space="preserve">měrnicí </w:t>
      </w:r>
      <w:r w:rsidR="0070279E" w:rsidRPr="004D07DE">
        <w:rPr>
          <w:rFonts w:ascii="Arial" w:eastAsia="Arial" w:hAnsi="Arial" w:cs="Arial"/>
        </w:rPr>
        <w:t>Rady č. 89/391/EHS ze dne 12. června 1989 o zavádění opatření pro zlepšení bezpečnosti a ochrany zdraví při práci, ve které je v článku 7 a 14 uloženo zaměstnavateli zajistit dohled nad zdravím zaměstnanců, přičemž transpozice příslušných článků směrnice je provedena v zákoníku práce a zákoně č.</w:t>
      </w:r>
      <w:r w:rsidR="009657B8" w:rsidRPr="004D07DE">
        <w:rPr>
          <w:rFonts w:ascii="Arial" w:eastAsia="Arial" w:hAnsi="Arial" w:cs="Arial"/>
        </w:rPr>
        <w:t> </w:t>
      </w:r>
      <w:r w:rsidR="0070279E" w:rsidRPr="004D07DE">
        <w:rPr>
          <w:rFonts w:ascii="Arial" w:eastAsia="Arial" w:hAnsi="Arial" w:cs="Arial"/>
        </w:rPr>
        <w:t>373/2011 Sb.</w:t>
      </w:r>
      <w:r w:rsidR="003425CB" w:rsidRPr="004D07DE">
        <w:rPr>
          <w:rFonts w:ascii="Arial" w:eastAsia="Arial" w:hAnsi="Arial" w:cs="Arial"/>
        </w:rPr>
        <w:t>,</w:t>
      </w:r>
    </w:p>
    <w:p w:rsidR="00FF0084" w:rsidRPr="004D07DE" w:rsidRDefault="00FF0084" w:rsidP="004D07DE">
      <w:pPr>
        <w:pStyle w:val="Odstavecseseznamem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>směrnice Rady 89/654/EHS ze dne 30. listopadu 1989 o minimálních požadavcích na bezpečnost a ochranu zdraví na pracovišti</w:t>
      </w:r>
      <w:r w:rsidR="00AF65DC" w:rsidRPr="004D07DE">
        <w:rPr>
          <w:rFonts w:ascii="Arial" w:eastAsia="Arial" w:hAnsi="Arial" w:cs="Arial"/>
        </w:rPr>
        <w:t>,</w:t>
      </w:r>
    </w:p>
    <w:p w:rsidR="00D24A77" w:rsidRPr="004D07DE" w:rsidRDefault="00D24A77" w:rsidP="004D07DE">
      <w:pPr>
        <w:pStyle w:val="Odstavecseseznamem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>směrnice Rady 90/269/EHS ze dne 29. května 1990 o minimálních požadavcích na bezpečnost a ochranu zdraví pro ruční práci s břemeny spojenou s rizikem, zejména poškozením páteře pro zaměstnance,</w:t>
      </w:r>
    </w:p>
    <w:p w:rsidR="003425CB" w:rsidRPr="004D07DE" w:rsidRDefault="004C32D7" w:rsidP="004D07DE">
      <w:pPr>
        <w:pStyle w:val="Odstavecseseznamem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4D07DE">
        <w:rPr>
          <w:rStyle w:val="Siln"/>
          <w:rFonts w:ascii="Arial" w:hAnsi="Arial" w:cs="Arial"/>
          <w:b w:val="0"/>
        </w:rPr>
        <w:t>směrnicí Evropského parlamentu a Rady 2009/148/ES ze dne 30. listopadu 2009 o</w:t>
      </w:r>
      <w:r w:rsidR="00FE0954" w:rsidRPr="004D07DE">
        <w:rPr>
          <w:rStyle w:val="Siln"/>
          <w:rFonts w:ascii="Arial" w:hAnsi="Arial" w:cs="Arial"/>
          <w:b w:val="0"/>
        </w:rPr>
        <w:t> </w:t>
      </w:r>
      <w:r w:rsidRPr="004D07DE">
        <w:rPr>
          <w:rStyle w:val="Siln"/>
          <w:rFonts w:ascii="Arial" w:hAnsi="Arial" w:cs="Arial"/>
          <w:b w:val="0"/>
        </w:rPr>
        <w:t>ochraně zaměstnanců před riziky spojenými s expozicí azbestu při práci</w:t>
      </w:r>
      <w:r w:rsidR="00FE0954" w:rsidRPr="004D07DE">
        <w:rPr>
          <w:rStyle w:val="Siln"/>
          <w:rFonts w:ascii="Arial" w:hAnsi="Arial" w:cs="Arial"/>
          <w:b w:val="0"/>
        </w:rPr>
        <w:t>,</w:t>
      </w:r>
    </w:p>
    <w:p w:rsidR="00492708" w:rsidRPr="004D07DE" w:rsidRDefault="00492708" w:rsidP="004D07DE">
      <w:pPr>
        <w:pStyle w:val="Odstavecseseznamem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hAnsi="Arial" w:cs="Arial"/>
          <w:bCs/>
        </w:rPr>
        <w:t>směrnicí</w:t>
      </w:r>
      <w:r w:rsidR="00B003FF" w:rsidRPr="004D07DE">
        <w:rPr>
          <w:rFonts w:ascii="Arial" w:hAnsi="Arial" w:cs="Arial"/>
          <w:bCs/>
        </w:rPr>
        <w:t xml:space="preserve"> Evropského parlamentu a Rady</w:t>
      </w:r>
      <w:r w:rsidRPr="004D07DE">
        <w:rPr>
          <w:rFonts w:ascii="Arial" w:hAnsi="Arial" w:cs="Arial"/>
          <w:bCs/>
        </w:rPr>
        <w:t xml:space="preserve"> 2004/37/ES ze dne 29. dubna 2004 o ochraně zaměstnanců před riziky spojenými s expozicí karcinogenům nebo mutagenům při práci (šestá samostatná směrnice ve smyslu čl. 16 odst. 1 směrnice Rady 89/391/EHS)</w:t>
      </w:r>
      <w:r w:rsidR="00B003FF" w:rsidRPr="004D07DE">
        <w:rPr>
          <w:rFonts w:ascii="Arial" w:hAnsi="Arial" w:cs="Arial"/>
          <w:bCs/>
        </w:rPr>
        <w:t>,</w:t>
      </w:r>
    </w:p>
    <w:p w:rsidR="00D24A77" w:rsidRPr="004D07DE" w:rsidRDefault="005D5121" w:rsidP="004D07DE">
      <w:pPr>
        <w:numPr>
          <w:ilvl w:val="0"/>
          <w:numId w:val="8"/>
        </w:numPr>
        <w:spacing w:after="0" w:line="240" w:lineRule="auto"/>
        <w:jc w:val="both"/>
        <w:rPr>
          <w:rStyle w:val="Siln"/>
          <w:rFonts w:ascii="Arial" w:hAnsi="Arial" w:cs="Arial"/>
          <w:b w:val="0"/>
          <w:strike/>
        </w:rPr>
      </w:pPr>
      <w:r w:rsidRPr="004D07DE">
        <w:rPr>
          <w:rStyle w:val="Siln"/>
          <w:rFonts w:ascii="Arial" w:hAnsi="Arial" w:cs="Arial"/>
          <w:b w:val="0"/>
        </w:rPr>
        <w:t xml:space="preserve">směrnicí Evropského parlamentu a Rady 2004/37/ES ze dne 29. dubna 2004 o ochraně zaměstnanců před riziky spojenými s expozicí karcinogenům nebo mutagenům při práci (šestá samostatná směrnice ve smyslu čl. 16 odst. 1 směrnice Rady </w:t>
      </w:r>
      <w:proofErr w:type="gramStart"/>
      <w:r w:rsidRPr="004D07DE">
        <w:rPr>
          <w:rStyle w:val="Siln"/>
          <w:rFonts w:ascii="Arial" w:hAnsi="Arial" w:cs="Arial"/>
          <w:b w:val="0"/>
        </w:rPr>
        <w:t>89/391/EHS) (kodifikované</w:t>
      </w:r>
      <w:proofErr w:type="gramEnd"/>
      <w:r w:rsidRPr="004D07DE">
        <w:rPr>
          <w:rStyle w:val="Siln"/>
          <w:rFonts w:ascii="Arial" w:hAnsi="Arial" w:cs="Arial"/>
          <w:b w:val="0"/>
        </w:rPr>
        <w:t xml:space="preserve"> znění)</w:t>
      </w:r>
      <w:r w:rsidR="00FE0954" w:rsidRPr="004D07DE">
        <w:rPr>
          <w:rStyle w:val="Siln"/>
          <w:rFonts w:ascii="Arial" w:hAnsi="Arial" w:cs="Arial"/>
          <w:b w:val="0"/>
        </w:rPr>
        <w:t>,</w:t>
      </w:r>
      <w:r w:rsidRPr="004D07DE">
        <w:rPr>
          <w:rStyle w:val="Siln"/>
          <w:rFonts w:ascii="Arial" w:hAnsi="Arial" w:cs="Arial"/>
          <w:b w:val="0"/>
        </w:rPr>
        <w:t xml:space="preserve"> </w:t>
      </w:r>
    </w:p>
    <w:p w:rsidR="00AC0E7A" w:rsidRPr="004D07DE" w:rsidRDefault="00D24A77" w:rsidP="004D07D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="Arial" w:hAnsi="Arial" w:cs="Arial"/>
          <w:b w:val="0"/>
        </w:rPr>
      </w:pPr>
      <w:r w:rsidRPr="004D07DE">
        <w:rPr>
          <w:rStyle w:val="Siln"/>
          <w:rFonts w:ascii="Arial" w:hAnsi="Arial" w:cs="Arial"/>
          <w:b w:val="0"/>
        </w:rPr>
        <w:t>směrnice</w:t>
      </w:r>
      <w:r w:rsidR="00AC0E7A" w:rsidRPr="004D07DE">
        <w:rPr>
          <w:rStyle w:val="Siln"/>
          <w:rFonts w:ascii="Arial" w:hAnsi="Arial" w:cs="Arial"/>
          <w:b w:val="0"/>
        </w:rPr>
        <w:t xml:space="preserve"> Komise </w:t>
      </w:r>
      <w:hyperlink r:id="rId9" w:history="1">
        <w:r w:rsidR="00AC0E7A" w:rsidRPr="004D07DE">
          <w:rPr>
            <w:rStyle w:val="Siln"/>
            <w:rFonts w:ascii="Arial" w:hAnsi="Arial" w:cs="Arial"/>
            <w:b w:val="0"/>
          </w:rPr>
          <w:t>2006/15/ES</w:t>
        </w:r>
      </w:hyperlink>
      <w:r w:rsidR="00AC0E7A" w:rsidRPr="004D07DE">
        <w:rPr>
          <w:rStyle w:val="Siln"/>
          <w:rFonts w:ascii="Arial" w:hAnsi="Arial" w:cs="Arial"/>
          <w:b w:val="0"/>
        </w:rPr>
        <w:t xml:space="preserve"> ze dne 7. února 2006 o stanovení druhého seznamu směrných limitních hodnot expozice na pracovišti k provedení směrnice Rady </w:t>
      </w:r>
      <w:hyperlink r:id="rId10" w:history="1">
        <w:r w:rsidR="00AC0E7A" w:rsidRPr="004D07DE">
          <w:rPr>
            <w:rStyle w:val="Siln"/>
            <w:rFonts w:ascii="Arial" w:hAnsi="Arial" w:cs="Arial"/>
            <w:b w:val="0"/>
          </w:rPr>
          <w:t>98/24/ES</w:t>
        </w:r>
      </w:hyperlink>
      <w:r w:rsidR="00AC0E7A" w:rsidRPr="004D07DE">
        <w:rPr>
          <w:rStyle w:val="Siln"/>
          <w:rFonts w:ascii="Arial" w:hAnsi="Arial" w:cs="Arial"/>
          <w:b w:val="0"/>
        </w:rPr>
        <w:t xml:space="preserve"> a o změně směrnic </w:t>
      </w:r>
      <w:hyperlink r:id="rId11" w:history="1">
        <w:r w:rsidR="00AC0E7A" w:rsidRPr="004D07DE">
          <w:rPr>
            <w:rStyle w:val="Siln"/>
            <w:rFonts w:ascii="Arial" w:hAnsi="Arial" w:cs="Arial"/>
            <w:b w:val="0"/>
          </w:rPr>
          <w:t>91/322/EHS</w:t>
        </w:r>
      </w:hyperlink>
      <w:r w:rsidR="00AC0E7A" w:rsidRPr="004D07DE">
        <w:rPr>
          <w:rStyle w:val="Siln"/>
          <w:rFonts w:ascii="Arial" w:hAnsi="Arial" w:cs="Arial"/>
          <w:b w:val="0"/>
        </w:rPr>
        <w:t xml:space="preserve"> a </w:t>
      </w:r>
      <w:hyperlink r:id="rId12" w:history="1">
        <w:r w:rsidR="00AC0E7A" w:rsidRPr="004D07DE">
          <w:rPr>
            <w:rStyle w:val="Siln"/>
            <w:rFonts w:ascii="Arial" w:hAnsi="Arial" w:cs="Arial"/>
            <w:b w:val="0"/>
          </w:rPr>
          <w:t>2000/39/ES</w:t>
        </w:r>
      </w:hyperlink>
      <w:r w:rsidR="00AC0E7A" w:rsidRPr="004D07DE">
        <w:rPr>
          <w:rStyle w:val="Siln"/>
          <w:rFonts w:ascii="Arial" w:hAnsi="Arial" w:cs="Arial"/>
          <w:b w:val="0"/>
        </w:rPr>
        <w:t xml:space="preserve">. </w:t>
      </w:r>
    </w:p>
    <w:p w:rsidR="00AC0E7A" w:rsidRPr="004D07DE" w:rsidRDefault="00AC0E7A" w:rsidP="004D07DE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="Arial" w:hAnsi="Arial" w:cs="Arial"/>
          <w:b w:val="0"/>
        </w:rPr>
      </w:pPr>
      <w:r w:rsidRPr="004D07DE">
        <w:rPr>
          <w:rStyle w:val="Siln"/>
          <w:rFonts w:ascii="Arial" w:hAnsi="Arial" w:cs="Arial"/>
          <w:b w:val="0"/>
        </w:rPr>
        <w:lastRenderedPageBreak/>
        <w:t xml:space="preserve">Směrnice Komise </w:t>
      </w:r>
      <w:hyperlink r:id="rId13" w:history="1">
        <w:r w:rsidRPr="004D07DE">
          <w:rPr>
            <w:rStyle w:val="Siln"/>
            <w:rFonts w:ascii="Arial" w:hAnsi="Arial" w:cs="Arial"/>
            <w:b w:val="0"/>
          </w:rPr>
          <w:t>2009/161/EU</w:t>
        </w:r>
      </w:hyperlink>
      <w:r w:rsidRPr="004D07DE">
        <w:rPr>
          <w:rStyle w:val="Siln"/>
          <w:rFonts w:ascii="Arial" w:hAnsi="Arial" w:cs="Arial"/>
          <w:b w:val="0"/>
        </w:rPr>
        <w:t xml:space="preserve"> ze dne 17. prosince 2009, kterou se stanoví třetí seznam směrných limitních hodnot expozice na pracovišti k provedení směrnice Rady </w:t>
      </w:r>
      <w:hyperlink r:id="rId14" w:history="1">
        <w:r w:rsidRPr="004D07DE">
          <w:rPr>
            <w:rStyle w:val="Siln"/>
            <w:rFonts w:ascii="Arial" w:hAnsi="Arial" w:cs="Arial"/>
            <w:b w:val="0"/>
          </w:rPr>
          <w:t>98/24/ES</w:t>
        </w:r>
      </w:hyperlink>
      <w:r w:rsidRPr="004D07DE">
        <w:rPr>
          <w:rStyle w:val="Siln"/>
          <w:rFonts w:ascii="Arial" w:hAnsi="Arial" w:cs="Arial"/>
          <w:b w:val="0"/>
        </w:rPr>
        <w:t xml:space="preserve"> a kterou se mění směrnice Komise </w:t>
      </w:r>
      <w:hyperlink r:id="rId15" w:history="1">
        <w:r w:rsidRPr="004D07DE">
          <w:rPr>
            <w:rStyle w:val="Siln"/>
            <w:rFonts w:ascii="Arial" w:hAnsi="Arial" w:cs="Arial"/>
            <w:b w:val="0"/>
          </w:rPr>
          <w:t>2000/39/ES</w:t>
        </w:r>
      </w:hyperlink>
      <w:r w:rsidRPr="004D07DE">
        <w:rPr>
          <w:rStyle w:val="Siln"/>
          <w:rFonts w:ascii="Arial" w:hAnsi="Arial" w:cs="Arial"/>
          <w:b w:val="0"/>
        </w:rPr>
        <w:t xml:space="preserve">. </w:t>
      </w:r>
    </w:p>
    <w:p w:rsidR="009B685B" w:rsidRPr="004D07DE" w:rsidRDefault="00432349" w:rsidP="004D07DE">
      <w:pPr>
        <w:numPr>
          <w:ilvl w:val="0"/>
          <w:numId w:val="8"/>
        </w:numPr>
        <w:spacing w:after="0" w:line="240" w:lineRule="auto"/>
        <w:jc w:val="both"/>
        <w:rPr>
          <w:rStyle w:val="Siln"/>
          <w:rFonts w:ascii="Arial" w:hAnsi="Arial" w:cs="Arial"/>
          <w:b w:val="0"/>
          <w:strike/>
        </w:rPr>
      </w:pPr>
      <w:r w:rsidRPr="004D07DE">
        <w:rPr>
          <w:rStyle w:val="Siln"/>
          <w:rFonts w:ascii="Arial" w:hAnsi="Arial" w:cs="Arial"/>
          <w:b w:val="0"/>
          <w:bCs w:val="0"/>
        </w:rPr>
        <w:t>směrnicí Rady 98/24/ES ze dne 7. dubna 1998 o bezpečnosti a ochraně zdraví zaměstnanců před riziky spojenými s chemickými činiteli používanými při práci (čtrnáctá samostatná směrnice ve smyslu čl. 16 odst. 1 směrnice 89/391/EHS)</w:t>
      </w:r>
      <w:r w:rsidR="00FE0954" w:rsidRPr="004D07DE">
        <w:rPr>
          <w:rStyle w:val="Siln"/>
          <w:rFonts w:ascii="Arial" w:hAnsi="Arial" w:cs="Arial"/>
          <w:b w:val="0"/>
          <w:bCs w:val="0"/>
        </w:rPr>
        <w:t>,</w:t>
      </w:r>
      <w:r w:rsidRPr="004D07DE">
        <w:rPr>
          <w:rStyle w:val="Siln"/>
          <w:rFonts w:ascii="Arial" w:hAnsi="Arial" w:cs="Arial"/>
          <w:b w:val="0"/>
          <w:bCs w:val="0"/>
        </w:rPr>
        <w:t xml:space="preserve"> </w:t>
      </w:r>
    </w:p>
    <w:p w:rsidR="00432349" w:rsidRPr="004D07DE" w:rsidRDefault="00432349" w:rsidP="004D07DE">
      <w:pPr>
        <w:numPr>
          <w:ilvl w:val="0"/>
          <w:numId w:val="10"/>
        </w:numPr>
        <w:spacing w:after="0" w:line="240" w:lineRule="auto"/>
        <w:jc w:val="both"/>
        <w:rPr>
          <w:rStyle w:val="Siln"/>
          <w:rFonts w:ascii="Arial" w:hAnsi="Arial" w:cs="Arial"/>
          <w:b w:val="0"/>
          <w:strike/>
        </w:rPr>
      </w:pPr>
      <w:r w:rsidRPr="004D07DE">
        <w:rPr>
          <w:rStyle w:val="Siln"/>
          <w:rFonts w:ascii="Arial" w:hAnsi="Arial" w:cs="Arial"/>
          <w:b w:val="0"/>
        </w:rPr>
        <w:t>směrnicí Evropského parlamentu a Rady 2000/54/ES ze dne 18. září 2000 o ochraně zaměstnanců před riziky spojenými s expozicí biologickým činitelům při práci (sedmá samostatná směrnice ve smyslu čl. 16 odst. 1 směrnice 89/391/EHS)</w:t>
      </w:r>
      <w:r w:rsidR="00614E97" w:rsidRPr="004D07DE">
        <w:rPr>
          <w:rStyle w:val="Siln"/>
          <w:rFonts w:ascii="Arial" w:hAnsi="Arial" w:cs="Arial"/>
          <w:b w:val="0"/>
        </w:rPr>
        <w:t>,</w:t>
      </w:r>
      <w:r w:rsidRPr="004D07DE">
        <w:rPr>
          <w:rStyle w:val="Siln"/>
          <w:rFonts w:ascii="Arial" w:hAnsi="Arial" w:cs="Arial"/>
          <w:b w:val="0"/>
        </w:rPr>
        <w:t xml:space="preserve"> </w:t>
      </w:r>
    </w:p>
    <w:p w:rsidR="00683470" w:rsidRPr="004D07DE" w:rsidRDefault="00683470" w:rsidP="004D07DE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Style w:val="Siln"/>
          <w:rFonts w:ascii="Arial" w:hAnsi="Arial" w:cs="Arial"/>
          <w:b w:val="0"/>
        </w:rPr>
      </w:pPr>
      <w:r w:rsidRPr="004D07DE">
        <w:rPr>
          <w:rStyle w:val="Siln"/>
          <w:rFonts w:ascii="Arial" w:hAnsi="Arial" w:cs="Arial"/>
          <w:b w:val="0"/>
        </w:rPr>
        <w:t>směrnicí Rady 94/33/ES ze dne 22. června 1994 o</w:t>
      </w:r>
      <w:r w:rsidR="00614E97" w:rsidRPr="004D07DE">
        <w:rPr>
          <w:rStyle w:val="Siln"/>
          <w:rFonts w:ascii="Arial" w:hAnsi="Arial" w:cs="Arial"/>
          <w:b w:val="0"/>
        </w:rPr>
        <w:t xml:space="preserve"> ochraně mladistvých pracovníků.</w:t>
      </w:r>
      <w:r w:rsidRPr="004D07DE">
        <w:rPr>
          <w:rStyle w:val="Siln"/>
          <w:rFonts w:ascii="Arial" w:hAnsi="Arial" w:cs="Arial"/>
          <w:b w:val="0"/>
          <w:strike/>
        </w:rPr>
        <w:t xml:space="preserve"> </w:t>
      </w:r>
    </w:p>
    <w:p w:rsidR="005D5121" w:rsidRPr="004D07DE" w:rsidRDefault="00683470" w:rsidP="004D07DE">
      <w:pPr>
        <w:spacing w:after="0" w:line="240" w:lineRule="auto"/>
        <w:jc w:val="both"/>
        <w:rPr>
          <w:rStyle w:val="Siln"/>
          <w:rFonts w:ascii="Arial" w:hAnsi="Arial" w:cs="Arial"/>
          <w:b w:val="0"/>
        </w:rPr>
      </w:pPr>
      <w:r w:rsidRPr="004D07DE">
        <w:rPr>
          <w:rStyle w:val="Siln"/>
          <w:rFonts w:ascii="Arial" w:hAnsi="Arial" w:cs="Arial"/>
          <w:b w:val="0"/>
        </w:rPr>
        <w:t>Uvedené směrnice</w:t>
      </w:r>
      <w:r w:rsidR="0001438D" w:rsidRPr="004D07DE">
        <w:rPr>
          <w:rStyle w:val="Siln"/>
          <w:rFonts w:ascii="Arial" w:hAnsi="Arial" w:cs="Arial"/>
          <w:b w:val="0"/>
        </w:rPr>
        <w:t xml:space="preserve">, které se dotýkají upravovaných oblastí, </w:t>
      </w:r>
      <w:r w:rsidR="0081415E" w:rsidRPr="004D07DE">
        <w:rPr>
          <w:rStyle w:val="Siln"/>
          <w:rFonts w:ascii="Arial" w:hAnsi="Arial" w:cs="Arial"/>
          <w:b w:val="0"/>
        </w:rPr>
        <w:t>jsou</w:t>
      </w:r>
      <w:r w:rsidRPr="004D07DE">
        <w:rPr>
          <w:rStyle w:val="Siln"/>
          <w:rFonts w:ascii="Arial" w:hAnsi="Arial" w:cs="Arial"/>
          <w:b w:val="0"/>
        </w:rPr>
        <w:t xml:space="preserve"> transponovány zejména</w:t>
      </w:r>
      <w:r w:rsidR="00614E97" w:rsidRPr="004D07DE">
        <w:rPr>
          <w:rStyle w:val="Siln"/>
          <w:rFonts w:ascii="Arial" w:hAnsi="Arial" w:cs="Arial"/>
          <w:b w:val="0"/>
        </w:rPr>
        <w:t xml:space="preserve"> zákony</w:t>
      </w:r>
      <w:r w:rsidRPr="004D07DE">
        <w:rPr>
          <w:rStyle w:val="Siln"/>
          <w:rFonts w:ascii="Arial" w:hAnsi="Arial" w:cs="Arial"/>
          <w:b w:val="0"/>
        </w:rPr>
        <w:t>, a to zákoníkem</w:t>
      </w:r>
      <w:r w:rsidR="00614E97" w:rsidRPr="004D07DE">
        <w:rPr>
          <w:rStyle w:val="Siln"/>
          <w:rFonts w:ascii="Arial" w:hAnsi="Arial" w:cs="Arial"/>
          <w:b w:val="0"/>
        </w:rPr>
        <w:t xml:space="preserve"> práce, zákonem č. 309/2006 Sb. a</w:t>
      </w:r>
      <w:r w:rsidRPr="004D07DE">
        <w:rPr>
          <w:rStyle w:val="Siln"/>
          <w:rFonts w:ascii="Arial" w:hAnsi="Arial" w:cs="Arial"/>
          <w:b w:val="0"/>
        </w:rPr>
        <w:t xml:space="preserve"> </w:t>
      </w:r>
      <w:r w:rsidR="00F66E13" w:rsidRPr="004D07DE">
        <w:rPr>
          <w:rStyle w:val="Siln"/>
          <w:rFonts w:ascii="Arial" w:hAnsi="Arial" w:cs="Arial"/>
          <w:b w:val="0"/>
        </w:rPr>
        <w:t>z</w:t>
      </w:r>
      <w:r w:rsidRPr="004D07DE">
        <w:rPr>
          <w:rStyle w:val="Siln"/>
          <w:rFonts w:ascii="Arial" w:hAnsi="Arial" w:cs="Arial"/>
          <w:b w:val="0"/>
        </w:rPr>
        <w:t>ákonem č. 258/2000 Sb</w:t>
      </w:r>
      <w:r w:rsidR="00614E97" w:rsidRPr="004D07DE">
        <w:rPr>
          <w:rStyle w:val="Siln"/>
          <w:rFonts w:ascii="Arial" w:hAnsi="Arial" w:cs="Arial"/>
          <w:b w:val="0"/>
        </w:rPr>
        <w:t xml:space="preserve">. </w:t>
      </w:r>
      <w:r w:rsidR="00F66E13" w:rsidRPr="004D07DE">
        <w:rPr>
          <w:rStyle w:val="Siln"/>
          <w:rFonts w:ascii="Arial" w:hAnsi="Arial" w:cs="Arial"/>
          <w:b w:val="0"/>
        </w:rPr>
        <w:t>a jejich prováděcími právními předpisy</w:t>
      </w:r>
      <w:r w:rsidR="0081415E" w:rsidRPr="004D07DE">
        <w:rPr>
          <w:rStyle w:val="Siln"/>
          <w:rFonts w:ascii="Arial" w:hAnsi="Arial" w:cs="Arial"/>
          <w:b w:val="0"/>
        </w:rPr>
        <w:t xml:space="preserve">. </w:t>
      </w:r>
    </w:p>
    <w:p w:rsidR="000D3BB9" w:rsidRPr="004D07DE" w:rsidRDefault="000D3BB9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trike/>
        </w:rPr>
      </w:pPr>
    </w:p>
    <w:p w:rsidR="00E420AD" w:rsidRPr="004D07DE" w:rsidRDefault="00E420AD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 xml:space="preserve">Předložený návrh novely </w:t>
      </w:r>
      <w:r w:rsidR="00ED05A9" w:rsidRPr="004D07DE">
        <w:rPr>
          <w:rFonts w:ascii="Arial" w:eastAsia="Arial" w:hAnsi="Arial" w:cs="Arial"/>
        </w:rPr>
        <w:t xml:space="preserve">nařízení vlády </w:t>
      </w:r>
      <w:r w:rsidRPr="004D07DE">
        <w:rPr>
          <w:rFonts w:ascii="Arial" w:eastAsia="Arial" w:hAnsi="Arial" w:cs="Arial"/>
        </w:rPr>
        <w:t>je v souladu s principy doporučenými orgány EU a</w:t>
      </w:r>
      <w:r w:rsidR="00A80A3D" w:rsidRPr="004D07DE">
        <w:rPr>
          <w:rFonts w:ascii="Arial" w:eastAsia="Arial" w:hAnsi="Arial" w:cs="Arial"/>
        </w:rPr>
        <w:t> </w:t>
      </w:r>
      <w:r w:rsidRPr="004D07DE">
        <w:rPr>
          <w:rFonts w:ascii="Arial" w:eastAsia="Arial" w:hAnsi="Arial" w:cs="Arial"/>
        </w:rPr>
        <w:t xml:space="preserve">uplatňovanými v členských zemích EU. </w:t>
      </w:r>
    </w:p>
    <w:p w:rsidR="003A67B5" w:rsidRPr="004D07DE" w:rsidRDefault="00546F54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 xml:space="preserve">Návrh </w:t>
      </w:r>
      <w:r w:rsidR="00ED05A9" w:rsidRPr="004D07DE">
        <w:rPr>
          <w:rFonts w:ascii="Arial" w:eastAsia="Arial" w:hAnsi="Arial" w:cs="Arial"/>
        </w:rPr>
        <w:t xml:space="preserve">novely </w:t>
      </w:r>
      <w:r w:rsidR="00E30DDA" w:rsidRPr="004D07DE">
        <w:rPr>
          <w:rFonts w:ascii="Arial" w:eastAsia="Arial" w:hAnsi="Arial" w:cs="Arial"/>
        </w:rPr>
        <w:t>nařízení</w:t>
      </w:r>
      <w:r w:rsidR="00ED05A9" w:rsidRPr="004D07DE">
        <w:rPr>
          <w:rFonts w:ascii="Arial" w:eastAsia="Arial" w:hAnsi="Arial" w:cs="Arial"/>
        </w:rPr>
        <w:t xml:space="preserve"> vlády </w:t>
      </w:r>
      <w:r w:rsidRPr="004D07DE">
        <w:rPr>
          <w:rFonts w:ascii="Arial" w:eastAsia="Arial" w:hAnsi="Arial" w:cs="Arial"/>
        </w:rPr>
        <w:t>je s právem EU plně slučitelný.</w:t>
      </w:r>
      <w:r w:rsidR="00ED05A9" w:rsidRPr="004D07DE">
        <w:rPr>
          <w:rFonts w:ascii="Arial" w:eastAsia="Arial" w:hAnsi="Arial" w:cs="Arial"/>
        </w:rPr>
        <w:t xml:space="preserve"> </w:t>
      </w:r>
      <w:r w:rsidR="00A80A3D" w:rsidRPr="004D07DE">
        <w:rPr>
          <w:rFonts w:ascii="Arial" w:eastAsia="Arial" w:hAnsi="Arial" w:cs="Arial"/>
        </w:rPr>
        <w:t>Navrhovaných úprav se </w:t>
      </w:r>
      <w:r w:rsidR="003A67B5" w:rsidRPr="004D07DE">
        <w:rPr>
          <w:rFonts w:ascii="Arial" w:eastAsia="Arial" w:hAnsi="Arial" w:cs="Arial"/>
        </w:rPr>
        <w:t>judikatura soudních orgánů EU nedotýká.</w:t>
      </w:r>
    </w:p>
    <w:p w:rsidR="00937D6A" w:rsidRPr="004D07DE" w:rsidRDefault="00937D6A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845E8A" w:rsidRDefault="00E53B89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>4.</w:t>
      </w:r>
      <w:r w:rsidR="00B2245C" w:rsidRPr="004D07DE">
        <w:rPr>
          <w:rFonts w:ascii="Arial" w:eastAsia="Arial" w:hAnsi="Arial" w:cs="Arial"/>
          <w:b/>
        </w:rPr>
        <w:t xml:space="preserve"> Zhodnocení platného právního stavu a odůvodnění nezbytnosti jeho změny </w:t>
      </w:r>
    </w:p>
    <w:p w:rsidR="00845E8A" w:rsidRPr="004D07DE" w:rsidRDefault="00845E8A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  <w:b/>
        </w:rPr>
      </w:pPr>
    </w:p>
    <w:p w:rsidR="00943D88" w:rsidRPr="004D07DE" w:rsidRDefault="00943D88" w:rsidP="004D07DE">
      <w:pPr>
        <w:spacing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 xml:space="preserve">Novela nařízení vlády č. 361/2007 Sb. </w:t>
      </w:r>
      <w:r w:rsidRPr="004D07DE">
        <w:rPr>
          <w:rFonts w:ascii="Arial" w:hAnsi="Arial" w:cs="Arial"/>
        </w:rPr>
        <w:t>je v souladu s ústa</w:t>
      </w:r>
      <w:r w:rsidR="00A80A3D" w:rsidRPr="004D07DE">
        <w:rPr>
          <w:rFonts w:ascii="Arial" w:hAnsi="Arial" w:cs="Arial"/>
        </w:rPr>
        <w:t>vním pořádkem České republiky a </w:t>
      </w:r>
      <w:r w:rsidRPr="004D07DE">
        <w:rPr>
          <w:rFonts w:ascii="Arial" w:hAnsi="Arial" w:cs="Arial"/>
        </w:rPr>
        <w:t>se zákony, k jejichž provedení se nařízení vlády navrhuje.</w:t>
      </w:r>
    </w:p>
    <w:p w:rsidR="00320FB4" w:rsidRPr="004D07DE" w:rsidRDefault="00320FB4" w:rsidP="004D07DE">
      <w:pPr>
        <w:spacing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 xml:space="preserve">Nařízení vlády č. 361/2007 Sb., kterým se stanoví podmínky ochrany zdraví při </w:t>
      </w:r>
      <w:proofErr w:type="gramStart"/>
      <w:r w:rsidRPr="004D07DE">
        <w:rPr>
          <w:rFonts w:ascii="Arial" w:eastAsia="Arial" w:hAnsi="Arial" w:cs="Arial"/>
        </w:rPr>
        <w:t>práci,  vstoupilo</w:t>
      </w:r>
      <w:proofErr w:type="gramEnd"/>
      <w:r w:rsidRPr="004D07DE">
        <w:rPr>
          <w:rFonts w:ascii="Arial" w:eastAsia="Arial" w:hAnsi="Arial" w:cs="Arial"/>
        </w:rPr>
        <w:t xml:space="preserve"> v účinnost k 1. 1. 2008 jako prováděcí právní předpis zákona č. 309/2006 Sb., v souladu s ustanovením § 21 písm. a) citovaného zákona, kterým se upravují další požadavky bezpečnosti a ochrany zdraví při práci v pracovněprávních vztazích a o zajištění bezpečnosti a ochrany zdraví při činnosti nebo poskytování služeb mimo pracovněprávní vztahy (</w:t>
      </w:r>
      <w:hyperlink r:id="rId16" w:history="1">
        <w:r w:rsidRPr="004D07DE">
          <w:rPr>
            <w:rFonts w:ascii="Arial" w:eastAsia="Arial" w:hAnsi="Arial" w:cs="Arial"/>
          </w:rPr>
          <w:t>zákon o zajištění dalších podmínek bezpečnosti a ochrany zdraví při práci</w:t>
        </w:r>
      </w:hyperlink>
      <w:r w:rsidR="00B400B7">
        <w:rPr>
          <w:rFonts w:ascii="Arial" w:eastAsia="Arial" w:hAnsi="Arial" w:cs="Arial"/>
        </w:rPr>
        <w:t xml:space="preserve">), </w:t>
      </w:r>
      <w:r w:rsidRPr="00CC7904">
        <w:rPr>
          <w:rFonts w:ascii="Arial" w:eastAsia="Arial" w:hAnsi="Arial" w:cs="Arial"/>
        </w:rPr>
        <w:t>a k</w:t>
      </w:r>
      <w:r w:rsidR="00CC7904" w:rsidRPr="00CC7904">
        <w:rPr>
          <w:rFonts w:ascii="Arial" w:eastAsia="Arial" w:hAnsi="Arial" w:cs="Arial"/>
        </w:rPr>
        <w:t xml:space="preserve"> provedení § 102 odst. 3 </w:t>
      </w:r>
      <w:r w:rsidRPr="00CC7904">
        <w:rPr>
          <w:rFonts w:ascii="Arial" w:eastAsia="Arial" w:hAnsi="Arial" w:cs="Arial"/>
        </w:rPr>
        <w:t>zákona č. </w:t>
      </w:r>
      <w:hyperlink r:id="rId17" w:history="1">
        <w:r w:rsidRPr="00CC7904">
          <w:rPr>
            <w:rFonts w:ascii="Arial" w:eastAsia="Arial" w:hAnsi="Arial" w:cs="Arial"/>
          </w:rPr>
          <w:t>262/2006 Sb.</w:t>
        </w:r>
      </w:hyperlink>
      <w:r w:rsidRPr="00CC7904">
        <w:rPr>
          <w:rFonts w:ascii="Arial" w:eastAsia="Arial" w:hAnsi="Arial" w:cs="Arial"/>
        </w:rPr>
        <w:t xml:space="preserve">, </w:t>
      </w:r>
      <w:hyperlink r:id="rId18" w:history="1">
        <w:r w:rsidRPr="00CC7904">
          <w:rPr>
            <w:rFonts w:ascii="Arial" w:eastAsia="Arial" w:hAnsi="Arial" w:cs="Arial"/>
          </w:rPr>
          <w:t>zákoník práce</w:t>
        </w:r>
      </w:hyperlink>
      <w:r w:rsidRPr="00CC7904">
        <w:rPr>
          <w:rFonts w:ascii="Arial" w:eastAsia="Arial" w:hAnsi="Arial" w:cs="Arial"/>
        </w:rPr>
        <w:t>, ve znění pozdějších předpisů.</w:t>
      </w:r>
    </w:p>
    <w:p w:rsidR="00320FB4" w:rsidRPr="004D07DE" w:rsidRDefault="00320FB4" w:rsidP="004D07DE">
      <w:pPr>
        <w:spacing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 xml:space="preserve">Nařízení vlády č. 361/2007 Sb. historicky vycházející z nařízení vlády č. 178/2001 Sb., kterým se stanoví podmínky ochrany zdraví při práci. </w:t>
      </w:r>
      <w:r w:rsidR="00082080" w:rsidRPr="004D07DE">
        <w:rPr>
          <w:rFonts w:ascii="Arial" w:eastAsia="Arial" w:hAnsi="Arial" w:cs="Arial"/>
        </w:rPr>
        <w:t>N</w:t>
      </w:r>
      <w:r w:rsidRPr="004D07DE">
        <w:rPr>
          <w:rFonts w:ascii="Arial" w:eastAsia="Arial" w:hAnsi="Arial" w:cs="Arial"/>
        </w:rPr>
        <w:t xml:space="preserve">ařízení vlády doznalo v důsledku nutné </w:t>
      </w:r>
      <w:r w:rsidR="00082080" w:rsidRPr="004D07DE">
        <w:rPr>
          <w:rFonts w:ascii="Arial" w:eastAsia="Arial" w:hAnsi="Arial" w:cs="Arial"/>
        </w:rPr>
        <w:t>transpozice mj. tří předchozích směrnic upravující limitní expozice</w:t>
      </w:r>
      <w:r w:rsidR="000870F8" w:rsidRPr="004D07DE">
        <w:rPr>
          <w:rFonts w:ascii="Arial" w:eastAsia="Arial" w:hAnsi="Arial" w:cs="Arial"/>
        </w:rPr>
        <w:t xml:space="preserve">, významného posunu podmínek </w:t>
      </w:r>
      <w:r w:rsidRPr="004D07DE">
        <w:rPr>
          <w:rFonts w:ascii="Arial" w:eastAsia="Arial" w:hAnsi="Arial" w:cs="Arial"/>
        </w:rPr>
        <w:t>ochran</w:t>
      </w:r>
      <w:r w:rsidR="000870F8" w:rsidRPr="004D07DE">
        <w:rPr>
          <w:rFonts w:ascii="Arial" w:eastAsia="Arial" w:hAnsi="Arial" w:cs="Arial"/>
        </w:rPr>
        <w:t>y</w:t>
      </w:r>
      <w:r w:rsidRPr="004D07DE">
        <w:rPr>
          <w:rFonts w:ascii="Arial" w:eastAsia="Arial" w:hAnsi="Arial" w:cs="Arial"/>
        </w:rPr>
        <w:t xml:space="preserve"> zdraví </w:t>
      </w:r>
      <w:r w:rsidR="000870F8" w:rsidRPr="004D07DE">
        <w:rPr>
          <w:rFonts w:ascii="Arial" w:eastAsia="Arial" w:hAnsi="Arial" w:cs="Arial"/>
        </w:rPr>
        <w:t xml:space="preserve">pracovníků </w:t>
      </w:r>
      <w:r w:rsidRPr="004D07DE">
        <w:rPr>
          <w:rFonts w:ascii="Arial" w:eastAsia="Arial" w:hAnsi="Arial" w:cs="Arial"/>
        </w:rPr>
        <w:t>při práci s chemickými faktory a prachy</w:t>
      </w:r>
      <w:r w:rsidR="000870F8" w:rsidRPr="004D07DE">
        <w:rPr>
          <w:rFonts w:ascii="Arial" w:eastAsia="Arial" w:hAnsi="Arial" w:cs="Arial"/>
        </w:rPr>
        <w:t>.</w:t>
      </w:r>
      <w:r w:rsidR="00943D88" w:rsidRPr="004D07DE">
        <w:rPr>
          <w:rFonts w:ascii="Arial" w:eastAsia="Arial" w:hAnsi="Arial" w:cs="Arial"/>
        </w:rPr>
        <w:t xml:space="preserve"> </w:t>
      </w:r>
    </w:p>
    <w:p w:rsidR="00320FB4" w:rsidRPr="004D07DE" w:rsidRDefault="00320FB4" w:rsidP="004D07DE">
      <w:pPr>
        <w:spacing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>Nařízení vlády č. 361/2007 Sb. zapracováv</w:t>
      </w:r>
      <w:r w:rsidR="00943D88" w:rsidRPr="004D07DE">
        <w:rPr>
          <w:rFonts w:ascii="Arial" w:eastAsia="Arial" w:hAnsi="Arial" w:cs="Arial"/>
        </w:rPr>
        <w:t>á</w:t>
      </w:r>
      <w:r w:rsidRPr="004D07DE">
        <w:rPr>
          <w:rFonts w:ascii="Arial" w:eastAsia="Arial" w:hAnsi="Arial" w:cs="Arial"/>
        </w:rPr>
        <w:t xml:space="preserve"> příslušné předpisy Evropské unie</w:t>
      </w:r>
      <w:r w:rsidR="00943D88" w:rsidRPr="004D07DE">
        <w:rPr>
          <w:rFonts w:ascii="Arial" w:eastAsia="Arial" w:hAnsi="Arial" w:cs="Arial"/>
        </w:rPr>
        <w:t xml:space="preserve"> a</w:t>
      </w:r>
      <w:r w:rsidRPr="004D07DE">
        <w:rPr>
          <w:rFonts w:ascii="Arial" w:eastAsia="Arial" w:hAnsi="Arial" w:cs="Arial"/>
        </w:rPr>
        <w:t xml:space="preserve"> upravuje zejména rizikové faktory pracovních podmínek, jejich členění, metody a způsob jejich zjišťování, hygienické limity, minimální rozsah opatření k ochraně zdraví zaměstnance, zvláštní podmínky poskytování osobních ochranných pracovních prostředků a dále například bližší podmínky poskytování ochranných nápojů, bližší hygie</w:t>
      </w:r>
      <w:r w:rsidR="00A80A3D" w:rsidRPr="004D07DE">
        <w:rPr>
          <w:rFonts w:ascii="Arial" w:eastAsia="Arial" w:hAnsi="Arial" w:cs="Arial"/>
        </w:rPr>
        <w:t>nické požadavky na pracoviště a </w:t>
      </w:r>
      <w:r w:rsidRPr="004D07DE">
        <w:rPr>
          <w:rFonts w:ascii="Arial" w:eastAsia="Arial" w:hAnsi="Arial" w:cs="Arial"/>
        </w:rPr>
        <w:t>pracovní prostředí.</w:t>
      </w:r>
    </w:p>
    <w:p w:rsidR="0001355E" w:rsidRPr="004D07DE" w:rsidRDefault="0001355E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  <w:b/>
        </w:rPr>
      </w:pPr>
    </w:p>
    <w:p w:rsidR="00F748FD" w:rsidRDefault="00E53B89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>5.</w:t>
      </w:r>
      <w:r w:rsidR="00B2245C" w:rsidRPr="004D07DE">
        <w:rPr>
          <w:rFonts w:ascii="Arial" w:eastAsia="Arial" w:hAnsi="Arial" w:cs="Arial"/>
          <w:b/>
        </w:rPr>
        <w:t xml:space="preserve"> Předpokládaný hospodářský a finanční dopad navrhované právní úpravy na státní rozpočet, ostatní veřejné rozpočty, na podnikatelské prostředí České republiky, dále sociální dopady, včetně dopadů na rodiny a dopadů na specifické skupiny obyvatel, zejména osoby sociálně slabé, osoby se zdravotním postižením a národnostní menšiny, a dopady na životní prostředí</w:t>
      </w:r>
    </w:p>
    <w:p w:rsidR="00845E8A" w:rsidRPr="004D07DE" w:rsidRDefault="00845E8A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  <w:b/>
        </w:rPr>
      </w:pPr>
    </w:p>
    <w:p w:rsidR="00320FB4" w:rsidRPr="004D07DE" w:rsidRDefault="00320FB4" w:rsidP="004D07DE">
      <w:pPr>
        <w:pStyle w:val="odstavec1"/>
        <w:spacing w:before="0"/>
        <w:ind w:firstLine="0"/>
        <w:rPr>
          <w:rFonts w:ascii="Arial" w:hAnsi="Arial" w:cs="Arial"/>
          <w:sz w:val="22"/>
          <w:szCs w:val="22"/>
        </w:rPr>
      </w:pPr>
      <w:r w:rsidRPr="004D07DE">
        <w:rPr>
          <w:rFonts w:ascii="Arial" w:hAnsi="Arial" w:cs="Arial"/>
          <w:sz w:val="22"/>
          <w:szCs w:val="22"/>
        </w:rPr>
        <w:lastRenderedPageBreak/>
        <w:t xml:space="preserve">Realizace uvedeného návrhu nebude mít hospodářský ani finanční dopad na státní rozpočet, </w:t>
      </w:r>
      <w:r w:rsidR="008977AC">
        <w:rPr>
          <w:rFonts w:ascii="Arial" w:hAnsi="Arial" w:cs="Arial"/>
          <w:sz w:val="22"/>
          <w:szCs w:val="22"/>
        </w:rPr>
        <w:t xml:space="preserve">ani </w:t>
      </w:r>
      <w:r w:rsidRPr="004D07DE">
        <w:rPr>
          <w:rFonts w:ascii="Arial" w:hAnsi="Arial" w:cs="Arial"/>
          <w:sz w:val="22"/>
          <w:szCs w:val="22"/>
        </w:rPr>
        <w:t>na ostatní veřejné rozpočty.</w:t>
      </w:r>
    </w:p>
    <w:p w:rsidR="00A44760" w:rsidRDefault="00320FB4" w:rsidP="004D07DE">
      <w:pPr>
        <w:pStyle w:val="odstavec1"/>
        <w:spacing w:before="0"/>
        <w:ind w:firstLine="0"/>
        <w:rPr>
          <w:rFonts w:ascii="Arial" w:eastAsia="MS Gothic" w:hAnsi="Arial" w:cs="Arial"/>
          <w:bCs/>
          <w:noProof/>
          <w:sz w:val="22"/>
          <w:szCs w:val="22"/>
        </w:rPr>
      </w:pPr>
      <w:r w:rsidRPr="004D07DE">
        <w:rPr>
          <w:rFonts w:ascii="Arial" w:eastAsia="MS Gothic" w:hAnsi="Arial" w:cs="Arial"/>
          <w:bCs/>
          <w:noProof/>
          <w:sz w:val="22"/>
          <w:szCs w:val="22"/>
        </w:rPr>
        <w:t>Dotčenými subjekty, na něž návrh nařízení vlády bude mít přímý dopad, jsou provozovatelé/zaměstnavatelé</w:t>
      </w:r>
      <w:r w:rsidR="00DF0535" w:rsidRPr="004D07DE">
        <w:rPr>
          <w:rFonts w:ascii="Arial" w:eastAsia="MS Gothic" w:hAnsi="Arial" w:cs="Arial"/>
          <w:bCs/>
          <w:noProof/>
          <w:sz w:val="22"/>
          <w:szCs w:val="22"/>
        </w:rPr>
        <w:t xml:space="preserve"> (podnikatelské subjekty)</w:t>
      </w:r>
      <w:r w:rsidRPr="004D07DE">
        <w:rPr>
          <w:rFonts w:ascii="Arial" w:eastAsia="MS Gothic" w:hAnsi="Arial" w:cs="Arial"/>
          <w:bCs/>
          <w:noProof/>
          <w:sz w:val="22"/>
          <w:szCs w:val="22"/>
        </w:rPr>
        <w:t xml:space="preserve"> zaji</w:t>
      </w:r>
      <w:r w:rsidR="00A80A3D" w:rsidRPr="004D07DE">
        <w:rPr>
          <w:rFonts w:ascii="Arial" w:eastAsia="MS Gothic" w:hAnsi="Arial" w:cs="Arial"/>
          <w:bCs/>
          <w:noProof/>
          <w:sz w:val="22"/>
          <w:szCs w:val="22"/>
        </w:rPr>
        <w:t>šťující v souladu se zákonem č. </w:t>
      </w:r>
      <w:r w:rsidRPr="004D07DE">
        <w:rPr>
          <w:rFonts w:ascii="Arial" w:eastAsia="MS Gothic" w:hAnsi="Arial" w:cs="Arial"/>
          <w:bCs/>
          <w:noProof/>
          <w:sz w:val="22"/>
          <w:szCs w:val="22"/>
        </w:rPr>
        <w:t>262/2006 Sb., zákoník práce, ve znění pozdějších předpisů</w:t>
      </w:r>
      <w:r w:rsidR="00256999" w:rsidRPr="004D07DE">
        <w:rPr>
          <w:rFonts w:ascii="Arial" w:eastAsia="MS Gothic" w:hAnsi="Arial" w:cs="Arial"/>
          <w:bCs/>
          <w:noProof/>
          <w:sz w:val="22"/>
          <w:szCs w:val="22"/>
        </w:rPr>
        <w:t xml:space="preserve"> a dalších dotčených</w:t>
      </w:r>
      <w:r w:rsidR="00B25119" w:rsidRPr="004D07DE">
        <w:rPr>
          <w:rFonts w:ascii="Arial" w:eastAsia="MS Gothic" w:hAnsi="Arial" w:cs="Arial"/>
          <w:bCs/>
          <w:noProof/>
          <w:sz w:val="22"/>
          <w:szCs w:val="22"/>
        </w:rPr>
        <w:t xml:space="preserve"> předpisů</w:t>
      </w:r>
      <w:r w:rsidR="001F044E" w:rsidRPr="004D07DE">
        <w:rPr>
          <w:rFonts w:ascii="Arial" w:eastAsia="MS Gothic" w:hAnsi="Arial" w:cs="Arial"/>
          <w:bCs/>
          <w:noProof/>
          <w:sz w:val="22"/>
          <w:szCs w:val="22"/>
        </w:rPr>
        <w:t xml:space="preserve"> ochran</w:t>
      </w:r>
      <w:r w:rsidR="00943D88" w:rsidRPr="004D07DE">
        <w:rPr>
          <w:rFonts w:ascii="Arial" w:eastAsia="MS Gothic" w:hAnsi="Arial" w:cs="Arial"/>
          <w:bCs/>
          <w:noProof/>
          <w:sz w:val="22"/>
          <w:szCs w:val="22"/>
        </w:rPr>
        <w:t>u</w:t>
      </w:r>
      <w:r w:rsidR="001F044E" w:rsidRPr="004D07DE">
        <w:rPr>
          <w:rFonts w:ascii="Arial" w:eastAsia="MS Gothic" w:hAnsi="Arial" w:cs="Arial"/>
          <w:bCs/>
          <w:noProof/>
          <w:sz w:val="22"/>
          <w:szCs w:val="22"/>
        </w:rPr>
        <w:t xml:space="preserve"> z</w:t>
      </w:r>
      <w:r w:rsidR="00B25119" w:rsidRPr="004D07DE">
        <w:rPr>
          <w:rFonts w:ascii="Arial" w:eastAsia="MS Gothic" w:hAnsi="Arial" w:cs="Arial"/>
          <w:bCs/>
          <w:noProof/>
          <w:sz w:val="22"/>
          <w:szCs w:val="22"/>
        </w:rPr>
        <w:t>dr</w:t>
      </w:r>
      <w:r w:rsidR="001F044E" w:rsidRPr="004D07DE">
        <w:rPr>
          <w:rFonts w:ascii="Arial" w:eastAsia="MS Gothic" w:hAnsi="Arial" w:cs="Arial"/>
          <w:bCs/>
          <w:noProof/>
          <w:sz w:val="22"/>
          <w:szCs w:val="22"/>
        </w:rPr>
        <w:t>aví zaměstnanců před působením jednotlivých negativně působí</w:t>
      </w:r>
      <w:r w:rsidR="00BF02EB" w:rsidRPr="004D07DE">
        <w:rPr>
          <w:rFonts w:ascii="Arial" w:eastAsia="MS Gothic" w:hAnsi="Arial" w:cs="Arial"/>
          <w:bCs/>
          <w:noProof/>
          <w:sz w:val="22"/>
          <w:szCs w:val="22"/>
        </w:rPr>
        <w:t>cí</w:t>
      </w:r>
      <w:r w:rsidR="001F044E" w:rsidRPr="004D07DE">
        <w:rPr>
          <w:rFonts w:ascii="Arial" w:eastAsia="MS Gothic" w:hAnsi="Arial" w:cs="Arial"/>
          <w:bCs/>
          <w:noProof/>
          <w:sz w:val="22"/>
          <w:szCs w:val="22"/>
        </w:rPr>
        <w:t xml:space="preserve">ch faktorů pracovního prostředí, v tomto případě faktoru chemického. Navrhované expoziční hodnoty chemických látek </w:t>
      </w:r>
      <w:r w:rsidR="00F83EFF" w:rsidRPr="004D07DE">
        <w:rPr>
          <w:rFonts w:ascii="Arial" w:eastAsia="MS Gothic" w:hAnsi="Arial" w:cs="Arial"/>
          <w:bCs/>
          <w:noProof/>
          <w:sz w:val="22"/>
          <w:szCs w:val="22"/>
        </w:rPr>
        <w:t xml:space="preserve">budou buď nově zavedeny do českého právního řádu, jejich limitní hodnoty budou upraveny nebo </w:t>
      </w:r>
      <w:r w:rsidR="00556C37" w:rsidRPr="004D07DE">
        <w:rPr>
          <w:rFonts w:ascii="Arial" w:eastAsia="MS Gothic" w:hAnsi="Arial" w:cs="Arial"/>
          <w:bCs/>
          <w:noProof/>
          <w:sz w:val="22"/>
          <w:szCs w:val="22"/>
        </w:rPr>
        <w:t>nedojde k úprav</w:t>
      </w:r>
      <w:r w:rsidR="00943D88" w:rsidRPr="004D07DE">
        <w:rPr>
          <w:rFonts w:ascii="Arial" w:eastAsia="MS Gothic" w:hAnsi="Arial" w:cs="Arial"/>
          <w:bCs/>
          <w:noProof/>
          <w:sz w:val="22"/>
          <w:szCs w:val="22"/>
        </w:rPr>
        <w:t>ě</w:t>
      </w:r>
      <w:r w:rsidR="00556C37" w:rsidRPr="004D07DE">
        <w:rPr>
          <w:rFonts w:ascii="Arial" w:eastAsia="MS Gothic" w:hAnsi="Arial" w:cs="Arial"/>
          <w:bCs/>
          <w:noProof/>
          <w:sz w:val="22"/>
          <w:szCs w:val="22"/>
        </w:rPr>
        <w:t xml:space="preserve"> limitní</w:t>
      </w:r>
      <w:r w:rsidR="00943D88" w:rsidRPr="004D07DE">
        <w:rPr>
          <w:rFonts w:ascii="Arial" w:eastAsia="MS Gothic" w:hAnsi="Arial" w:cs="Arial"/>
          <w:bCs/>
          <w:noProof/>
          <w:sz w:val="22"/>
          <w:szCs w:val="22"/>
        </w:rPr>
        <w:t>c</w:t>
      </w:r>
      <w:r w:rsidR="00556C37" w:rsidRPr="004D07DE">
        <w:rPr>
          <w:rFonts w:ascii="Arial" w:eastAsia="MS Gothic" w:hAnsi="Arial" w:cs="Arial"/>
          <w:bCs/>
          <w:noProof/>
          <w:sz w:val="22"/>
          <w:szCs w:val="22"/>
        </w:rPr>
        <w:t xml:space="preserve">h hodnot, jelikož české limitní hodnoty jsou nastaveny totožně jako hodnoty směrnicí či </w:t>
      </w:r>
      <w:r w:rsidR="00A44760" w:rsidRPr="004D07DE">
        <w:rPr>
          <w:rFonts w:ascii="Arial" w:eastAsia="MS Gothic" w:hAnsi="Arial" w:cs="Arial"/>
          <w:bCs/>
          <w:noProof/>
          <w:sz w:val="22"/>
          <w:szCs w:val="22"/>
        </w:rPr>
        <w:t xml:space="preserve">národní </w:t>
      </w:r>
      <w:r w:rsidR="00556C37" w:rsidRPr="004D07DE">
        <w:rPr>
          <w:rFonts w:ascii="Arial" w:eastAsia="MS Gothic" w:hAnsi="Arial" w:cs="Arial"/>
          <w:bCs/>
          <w:noProof/>
          <w:sz w:val="22"/>
          <w:szCs w:val="22"/>
        </w:rPr>
        <w:t>limitní hodnoty jsou</w:t>
      </w:r>
      <w:r w:rsidR="00A44760" w:rsidRPr="004D07DE">
        <w:rPr>
          <w:rFonts w:ascii="Arial" w:eastAsia="MS Gothic" w:hAnsi="Arial" w:cs="Arial"/>
          <w:bCs/>
          <w:noProof/>
          <w:sz w:val="22"/>
          <w:szCs w:val="22"/>
        </w:rPr>
        <w:t xml:space="preserve"> přísnější. </w:t>
      </w:r>
    </w:p>
    <w:p w:rsidR="00A42DD0" w:rsidRPr="004D07DE" w:rsidRDefault="00A42DD0" w:rsidP="004D07DE">
      <w:pPr>
        <w:pStyle w:val="odstavec1"/>
        <w:spacing w:before="0"/>
        <w:ind w:firstLine="0"/>
        <w:rPr>
          <w:rFonts w:ascii="Arial" w:eastAsia="MS Gothic" w:hAnsi="Arial" w:cs="Arial"/>
          <w:bCs/>
          <w:noProof/>
          <w:sz w:val="22"/>
          <w:szCs w:val="22"/>
        </w:rPr>
      </w:pPr>
    </w:p>
    <w:p w:rsidR="00A44760" w:rsidRPr="004D07DE" w:rsidRDefault="00A44760" w:rsidP="004D07DE">
      <w:pPr>
        <w:pStyle w:val="odstavec1"/>
        <w:spacing w:before="0"/>
        <w:ind w:firstLine="0"/>
        <w:rPr>
          <w:rFonts w:ascii="Arial" w:eastAsia="MS Gothic" w:hAnsi="Arial" w:cs="Arial"/>
          <w:bCs/>
          <w:noProof/>
          <w:sz w:val="22"/>
          <w:szCs w:val="22"/>
        </w:rPr>
      </w:pPr>
    </w:p>
    <w:p w:rsidR="00A44760" w:rsidRPr="004D07DE" w:rsidRDefault="00A44760" w:rsidP="004D07DE">
      <w:pPr>
        <w:pStyle w:val="odstavec1"/>
        <w:spacing w:before="0"/>
        <w:ind w:firstLine="0"/>
        <w:rPr>
          <w:rFonts w:ascii="Arial" w:eastAsia="MS Gothic" w:hAnsi="Arial" w:cs="Arial"/>
          <w:b/>
          <w:bCs/>
          <w:noProof/>
          <w:sz w:val="22"/>
          <w:szCs w:val="22"/>
        </w:rPr>
      </w:pPr>
      <w:r w:rsidRPr="004D07DE">
        <w:rPr>
          <w:rFonts w:ascii="Arial" w:eastAsia="MS Gothic" w:hAnsi="Arial" w:cs="Arial"/>
          <w:b/>
          <w:bCs/>
          <w:noProof/>
          <w:sz w:val="22"/>
          <w:szCs w:val="22"/>
        </w:rPr>
        <w:t>A) Nově zavedené limitní hodnoty</w:t>
      </w:r>
    </w:p>
    <w:p w:rsidR="00723D5F" w:rsidRPr="004D07DE" w:rsidRDefault="00931501" w:rsidP="004D07DE">
      <w:pPr>
        <w:pStyle w:val="odstavec1"/>
        <w:spacing w:before="0"/>
        <w:ind w:firstLine="0"/>
        <w:rPr>
          <w:rFonts w:ascii="Arial" w:eastAsia="Arial" w:hAnsi="Arial" w:cs="Arial"/>
          <w:sz w:val="22"/>
          <w:szCs w:val="22"/>
        </w:rPr>
      </w:pPr>
      <w:proofErr w:type="spellStart"/>
      <w:r w:rsidRPr="004D07DE">
        <w:rPr>
          <w:rFonts w:ascii="Arial" w:eastAsia="Arial" w:hAnsi="Arial" w:cs="Arial"/>
          <w:sz w:val="22"/>
          <w:szCs w:val="22"/>
        </w:rPr>
        <w:t>t</w:t>
      </w:r>
      <w:r w:rsidR="00723D5F" w:rsidRPr="004D07DE">
        <w:rPr>
          <w:rFonts w:ascii="Arial" w:eastAsia="Arial" w:hAnsi="Arial" w:cs="Arial"/>
          <w:sz w:val="22"/>
          <w:szCs w:val="22"/>
        </w:rPr>
        <w:t>erfenyl</w:t>
      </w:r>
      <w:proofErr w:type="spellEnd"/>
      <w:r w:rsidR="00723D5F" w:rsidRPr="004D07DE">
        <w:rPr>
          <w:rFonts w:ascii="Arial" w:eastAsia="Arial" w:hAnsi="Arial" w:cs="Arial"/>
          <w:sz w:val="22"/>
          <w:szCs w:val="22"/>
        </w:rPr>
        <w:t xml:space="preserve">, hydrogenovaný, </w:t>
      </w:r>
      <w:proofErr w:type="spellStart"/>
      <w:r w:rsidRPr="004D07DE">
        <w:rPr>
          <w:rFonts w:ascii="Arial" w:eastAsia="Arial" w:hAnsi="Arial" w:cs="Arial"/>
          <w:sz w:val="22"/>
          <w:szCs w:val="22"/>
        </w:rPr>
        <w:t>n</w:t>
      </w:r>
      <w:r w:rsidR="00723D5F" w:rsidRPr="004D07DE">
        <w:rPr>
          <w:rFonts w:ascii="Arial" w:eastAsia="Arial" w:hAnsi="Arial" w:cs="Arial"/>
          <w:sz w:val="22"/>
          <w:szCs w:val="22"/>
        </w:rPr>
        <w:t>itroethan</w:t>
      </w:r>
      <w:proofErr w:type="spellEnd"/>
      <w:r w:rsidR="00723D5F" w:rsidRPr="004D07D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D07DE">
        <w:rPr>
          <w:rFonts w:ascii="Arial" w:eastAsia="Arial" w:hAnsi="Arial" w:cs="Arial"/>
          <w:sz w:val="22"/>
          <w:szCs w:val="22"/>
        </w:rPr>
        <w:t>m</w:t>
      </w:r>
      <w:r w:rsidR="00723D5F" w:rsidRPr="004D07DE">
        <w:rPr>
          <w:rFonts w:ascii="Arial" w:eastAsia="Arial" w:hAnsi="Arial" w:cs="Arial"/>
          <w:sz w:val="22"/>
          <w:szCs w:val="22"/>
        </w:rPr>
        <w:t>ethylformiát</w:t>
      </w:r>
      <w:proofErr w:type="spellEnd"/>
      <w:r w:rsidR="00B657A4" w:rsidRPr="004D07DE">
        <w:rPr>
          <w:rFonts w:ascii="Arial" w:eastAsia="Arial" w:hAnsi="Arial" w:cs="Arial"/>
          <w:sz w:val="22"/>
          <w:szCs w:val="22"/>
        </w:rPr>
        <w:t xml:space="preserve">, </w:t>
      </w:r>
      <w:r w:rsidRPr="004D07DE">
        <w:rPr>
          <w:rFonts w:ascii="Arial" w:eastAsia="Arial" w:hAnsi="Arial" w:cs="Arial"/>
          <w:sz w:val="22"/>
          <w:szCs w:val="22"/>
        </w:rPr>
        <w:t>k</w:t>
      </w:r>
      <w:r w:rsidR="00B657A4" w:rsidRPr="004D07DE">
        <w:rPr>
          <w:rFonts w:ascii="Arial" w:eastAsia="Arial" w:hAnsi="Arial" w:cs="Arial"/>
          <w:sz w:val="22"/>
          <w:szCs w:val="22"/>
        </w:rPr>
        <w:t xml:space="preserve">yselina akrylová, </w:t>
      </w:r>
      <w:r w:rsidRPr="004D07DE">
        <w:rPr>
          <w:rFonts w:ascii="Arial" w:eastAsia="Arial" w:hAnsi="Arial" w:cs="Arial"/>
          <w:sz w:val="22"/>
          <w:szCs w:val="22"/>
        </w:rPr>
        <w:t>k</w:t>
      </w:r>
      <w:r w:rsidR="00453B32" w:rsidRPr="004D07DE">
        <w:rPr>
          <w:rFonts w:ascii="Arial" w:eastAsia="Arial" w:hAnsi="Arial" w:cs="Arial"/>
          <w:sz w:val="22"/>
          <w:szCs w:val="22"/>
        </w:rPr>
        <w:t>yanid draselný, jako </w:t>
      </w:r>
      <w:proofErr w:type="gramStart"/>
      <w:r w:rsidR="00453B32" w:rsidRPr="004D07DE">
        <w:rPr>
          <w:rFonts w:ascii="Arial" w:eastAsia="Arial" w:hAnsi="Arial" w:cs="Arial"/>
          <w:sz w:val="22"/>
          <w:szCs w:val="22"/>
        </w:rPr>
        <w:t>CN, 2-e</w:t>
      </w:r>
      <w:r w:rsidR="00B657A4" w:rsidRPr="004D07DE">
        <w:rPr>
          <w:rFonts w:ascii="Arial" w:eastAsia="Arial" w:hAnsi="Arial" w:cs="Arial"/>
          <w:sz w:val="22"/>
          <w:szCs w:val="22"/>
        </w:rPr>
        <w:t>thylhexanol</w:t>
      </w:r>
      <w:proofErr w:type="gramEnd"/>
      <w:r w:rsidR="00B657A4" w:rsidRPr="004D07DE">
        <w:rPr>
          <w:rFonts w:ascii="Arial" w:eastAsia="Arial" w:hAnsi="Arial" w:cs="Arial"/>
          <w:sz w:val="22"/>
          <w:szCs w:val="22"/>
        </w:rPr>
        <w:t xml:space="preserve">, </w:t>
      </w:r>
      <w:r w:rsidR="00453B32" w:rsidRPr="004D07DE">
        <w:rPr>
          <w:rFonts w:ascii="Arial" w:eastAsia="Arial" w:hAnsi="Arial" w:cs="Arial"/>
          <w:sz w:val="22"/>
          <w:szCs w:val="22"/>
        </w:rPr>
        <w:t>b</w:t>
      </w:r>
      <w:r w:rsidR="00B657A4" w:rsidRPr="004D07DE">
        <w:rPr>
          <w:rFonts w:ascii="Arial" w:eastAsia="Arial" w:hAnsi="Arial" w:cs="Arial"/>
          <w:sz w:val="22"/>
          <w:szCs w:val="22"/>
        </w:rPr>
        <w:t xml:space="preserve">ut-2-yn-1,4-diol, </w:t>
      </w:r>
      <w:proofErr w:type="spellStart"/>
      <w:r w:rsidRPr="004D07DE">
        <w:rPr>
          <w:rFonts w:ascii="Arial" w:eastAsia="Arial" w:hAnsi="Arial" w:cs="Arial"/>
          <w:sz w:val="22"/>
          <w:szCs w:val="22"/>
        </w:rPr>
        <w:t>b</w:t>
      </w:r>
      <w:r w:rsidR="00B657A4" w:rsidRPr="004D07DE">
        <w:rPr>
          <w:rFonts w:ascii="Arial" w:eastAsia="Arial" w:hAnsi="Arial" w:cs="Arial"/>
          <w:sz w:val="22"/>
          <w:szCs w:val="22"/>
        </w:rPr>
        <w:t>utandion</w:t>
      </w:r>
      <w:proofErr w:type="spellEnd"/>
      <w:r w:rsidR="00B657A4" w:rsidRPr="004D07D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D07DE">
        <w:rPr>
          <w:rFonts w:ascii="Arial" w:eastAsia="Arial" w:hAnsi="Arial" w:cs="Arial"/>
          <w:sz w:val="22"/>
          <w:szCs w:val="22"/>
        </w:rPr>
        <w:t>a</w:t>
      </w:r>
      <w:r w:rsidR="00B657A4" w:rsidRPr="004D07DE">
        <w:rPr>
          <w:rFonts w:ascii="Arial" w:eastAsia="Arial" w:hAnsi="Arial" w:cs="Arial"/>
          <w:sz w:val="22"/>
          <w:szCs w:val="22"/>
        </w:rPr>
        <w:t>mitrol</w:t>
      </w:r>
      <w:proofErr w:type="spellEnd"/>
    </w:p>
    <w:p w:rsidR="00A44760" w:rsidRPr="004D07DE" w:rsidRDefault="00A44760" w:rsidP="004D07DE">
      <w:pPr>
        <w:pStyle w:val="odstavec1"/>
        <w:spacing w:before="0"/>
        <w:ind w:firstLine="0"/>
        <w:rPr>
          <w:rFonts w:ascii="Arial" w:eastAsia="MS Gothic" w:hAnsi="Arial" w:cs="Arial"/>
          <w:b/>
          <w:bCs/>
          <w:noProof/>
          <w:sz w:val="22"/>
          <w:szCs w:val="22"/>
        </w:rPr>
      </w:pPr>
    </w:p>
    <w:p w:rsidR="00931501" w:rsidRPr="004D07DE" w:rsidRDefault="00A44760" w:rsidP="004D07DE">
      <w:pPr>
        <w:pStyle w:val="odstavec1"/>
        <w:spacing w:before="0"/>
        <w:ind w:firstLine="0"/>
        <w:rPr>
          <w:rFonts w:ascii="Arial" w:eastAsia="MS Gothic" w:hAnsi="Arial" w:cs="Arial"/>
          <w:b/>
          <w:bCs/>
          <w:noProof/>
          <w:sz w:val="22"/>
          <w:szCs w:val="22"/>
        </w:rPr>
      </w:pPr>
      <w:r w:rsidRPr="004D07DE">
        <w:rPr>
          <w:rFonts w:ascii="Arial" w:eastAsia="MS Gothic" w:hAnsi="Arial" w:cs="Arial"/>
          <w:b/>
          <w:bCs/>
          <w:noProof/>
          <w:sz w:val="22"/>
          <w:szCs w:val="22"/>
        </w:rPr>
        <w:t>B) Upravená limitní hodnota v souladu se směrnicí</w:t>
      </w:r>
    </w:p>
    <w:p w:rsidR="00723D5F" w:rsidRPr="004D07DE" w:rsidRDefault="00931501" w:rsidP="004D07DE">
      <w:pPr>
        <w:pStyle w:val="odstavec1"/>
        <w:spacing w:before="0"/>
        <w:ind w:firstLine="0"/>
        <w:rPr>
          <w:rFonts w:ascii="Arial" w:eastAsia="MS Gothic" w:hAnsi="Arial" w:cs="Arial"/>
          <w:b/>
          <w:bCs/>
          <w:noProof/>
          <w:sz w:val="22"/>
          <w:szCs w:val="22"/>
        </w:rPr>
      </w:pPr>
      <w:proofErr w:type="spellStart"/>
      <w:r w:rsidRPr="004D07DE">
        <w:rPr>
          <w:rFonts w:ascii="Arial" w:eastAsia="Arial" w:hAnsi="Arial" w:cs="Arial"/>
          <w:sz w:val="22"/>
          <w:szCs w:val="22"/>
        </w:rPr>
        <w:t>t</w:t>
      </w:r>
      <w:r w:rsidR="00723D5F" w:rsidRPr="004D07DE">
        <w:rPr>
          <w:rFonts w:ascii="Arial" w:eastAsia="Arial" w:hAnsi="Arial" w:cs="Arial"/>
          <w:sz w:val="22"/>
          <w:szCs w:val="22"/>
        </w:rPr>
        <w:t>etrachlorethen</w:t>
      </w:r>
      <w:proofErr w:type="spellEnd"/>
      <w:r w:rsidR="00723D5F" w:rsidRPr="004D07DE">
        <w:rPr>
          <w:rFonts w:ascii="Arial" w:eastAsia="Arial" w:hAnsi="Arial" w:cs="Arial"/>
          <w:sz w:val="22"/>
          <w:szCs w:val="22"/>
        </w:rPr>
        <w:t xml:space="preserve">, </w:t>
      </w:r>
      <w:r w:rsidRPr="004D07DE">
        <w:rPr>
          <w:rFonts w:ascii="Arial" w:eastAsia="Arial" w:hAnsi="Arial" w:cs="Arial"/>
          <w:sz w:val="22"/>
          <w:szCs w:val="22"/>
        </w:rPr>
        <w:t>o</w:t>
      </w:r>
      <w:r w:rsidR="00723D5F" w:rsidRPr="004D07DE">
        <w:rPr>
          <w:rFonts w:ascii="Arial" w:eastAsia="Arial" w:hAnsi="Arial" w:cs="Arial"/>
          <w:sz w:val="22"/>
          <w:szCs w:val="22"/>
        </w:rPr>
        <w:t xml:space="preserve">xid </w:t>
      </w:r>
      <w:proofErr w:type="gramStart"/>
      <w:r w:rsidR="00723D5F" w:rsidRPr="004D07DE">
        <w:rPr>
          <w:rFonts w:ascii="Arial" w:eastAsia="Arial" w:hAnsi="Arial" w:cs="Arial"/>
          <w:sz w:val="22"/>
          <w:szCs w:val="22"/>
        </w:rPr>
        <w:t>vápenatý, 2-</w:t>
      </w:r>
      <w:r w:rsidR="00453B32" w:rsidRPr="004D07DE">
        <w:rPr>
          <w:rFonts w:ascii="Arial" w:eastAsia="Arial" w:hAnsi="Arial" w:cs="Arial"/>
          <w:sz w:val="22"/>
          <w:szCs w:val="22"/>
        </w:rPr>
        <w:t>p</w:t>
      </w:r>
      <w:r w:rsidR="00723D5F" w:rsidRPr="004D07DE">
        <w:rPr>
          <w:rFonts w:ascii="Arial" w:eastAsia="Arial" w:hAnsi="Arial" w:cs="Arial"/>
          <w:sz w:val="22"/>
          <w:szCs w:val="22"/>
        </w:rPr>
        <w:t>ropenal</w:t>
      </w:r>
      <w:proofErr w:type="gramEnd"/>
      <w:r w:rsidR="00723D5F" w:rsidRPr="004D07DE">
        <w:rPr>
          <w:rFonts w:ascii="Arial" w:eastAsia="Arial" w:hAnsi="Arial" w:cs="Arial"/>
          <w:sz w:val="22"/>
          <w:szCs w:val="22"/>
        </w:rPr>
        <w:t xml:space="preserve">, </w:t>
      </w:r>
      <w:r w:rsidRPr="004D07DE">
        <w:rPr>
          <w:rFonts w:ascii="Arial" w:eastAsia="Arial" w:hAnsi="Arial" w:cs="Arial"/>
          <w:sz w:val="22"/>
          <w:szCs w:val="22"/>
        </w:rPr>
        <w:t>o</w:t>
      </w:r>
      <w:r w:rsidR="00723D5F" w:rsidRPr="004D07DE">
        <w:rPr>
          <w:rFonts w:ascii="Arial" w:eastAsia="Arial" w:hAnsi="Arial" w:cs="Arial"/>
          <w:sz w:val="22"/>
          <w:szCs w:val="22"/>
        </w:rPr>
        <w:t xml:space="preserve">xid uhelnatý, </w:t>
      </w:r>
      <w:r w:rsidRPr="004D07DE">
        <w:rPr>
          <w:rFonts w:ascii="Arial" w:eastAsia="Arial" w:hAnsi="Arial" w:cs="Arial"/>
          <w:sz w:val="22"/>
          <w:szCs w:val="22"/>
        </w:rPr>
        <w:t>o</w:t>
      </w:r>
      <w:r w:rsidR="00723D5F" w:rsidRPr="004D07DE">
        <w:rPr>
          <w:rFonts w:ascii="Arial" w:eastAsia="Arial" w:hAnsi="Arial" w:cs="Arial"/>
          <w:sz w:val="22"/>
          <w:szCs w:val="22"/>
        </w:rPr>
        <w:t xml:space="preserve">xid dusnatý, </w:t>
      </w:r>
      <w:r w:rsidRPr="004D07DE">
        <w:rPr>
          <w:rFonts w:ascii="Arial" w:eastAsia="Arial" w:hAnsi="Arial" w:cs="Arial"/>
          <w:sz w:val="22"/>
          <w:szCs w:val="22"/>
        </w:rPr>
        <w:t>ox</w:t>
      </w:r>
      <w:r w:rsidR="00723D5F" w:rsidRPr="004D07DE">
        <w:rPr>
          <w:rFonts w:ascii="Arial" w:eastAsia="Arial" w:hAnsi="Arial" w:cs="Arial"/>
          <w:sz w:val="22"/>
          <w:szCs w:val="22"/>
        </w:rPr>
        <w:t>id dusičitý</w:t>
      </w:r>
      <w:r w:rsidR="00B657A4" w:rsidRPr="004D07DE">
        <w:rPr>
          <w:rFonts w:ascii="Arial" w:eastAsia="Arial" w:hAnsi="Arial" w:cs="Arial"/>
          <w:sz w:val="22"/>
          <w:szCs w:val="22"/>
        </w:rPr>
        <w:t xml:space="preserve">, </w:t>
      </w:r>
      <w:r w:rsidRPr="004D07DE">
        <w:rPr>
          <w:rFonts w:ascii="Arial" w:eastAsia="Arial" w:hAnsi="Arial" w:cs="Arial"/>
          <w:sz w:val="22"/>
          <w:szCs w:val="22"/>
        </w:rPr>
        <w:t>m</w:t>
      </w:r>
      <w:r w:rsidR="00B657A4" w:rsidRPr="004D07DE">
        <w:rPr>
          <w:rFonts w:ascii="Arial" w:eastAsia="Arial" w:hAnsi="Arial" w:cs="Arial"/>
          <w:sz w:val="22"/>
          <w:szCs w:val="22"/>
        </w:rPr>
        <w:t>angan a jeho anorganické sloučeniny, jako </w:t>
      </w:r>
      <w:proofErr w:type="spellStart"/>
      <w:r w:rsidR="00B657A4" w:rsidRPr="004D07DE">
        <w:rPr>
          <w:rFonts w:ascii="Arial" w:eastAsia="Arial" w:hAnsi="Arial" w:cs="Arial"/>
          <w:sz w:val="22"/>
          <w:szCs w:val="22"/>
        </w:rPr>
        <w:t>Mn</w:t>
      </w:r>
      <w:proofErr w:type="spellEnd"/>
      <w:r w:rsidR="00B657A4" w:rsidRPr="004D07DE">
        <w:rPr>
          <w:rFonts w:ascii="Arial" w:eastAsia="Arial" w:hAnsi="Arial" w:cs="Arial"/>
          <w:sz w:val="22"/>
          <w:szCs w:val="22"/>
        </w:rPr>
        <w:t xml:space="preserve">, </w:t>
      </w:r>
      <w:r w:rsidRPr="004D07DE">
        <w:rPr>
          <w:rFonts w:ascii="Arial" w:eastAsia="Arial" w:hAnsi="Arial" w:cs="Arial"/>
          <w:sz w:val="22"/>
          <w:szCs w:val="22"/>
        </w:rPr>
        <w:t>k</w:t>
      </w:r>
      <w:r w:rsidR="00B657A4" w:rsidRPr="004D07DE">
        <w:rPr>
          <w:rFonts w:ascii="Arial" w:eastAsia="Arial" w:hAnsi="Arial" w:cs="Arial"/>
          <w:sz w:val="22"/>
          <w:szCs w:val="22"/>
        </w:rPr>
        <w:t xml:space="preserve">yanovodík, </w:t>
      </w:r>
      <w:r w:rsidRPr="004D07DE">
        <w:rPr>
          <w:rFonts w:ascii="Arial" w:eastAsia="Arial" w:hAnsi="Arial" w:cs="Arial"/>
          <w:sz w:val="22"/>
          <w:szCs w:val="22"/>
        </w:rPr>
        <w:t>k</w:t>
      </w:r>
      <w:r w:rsidR="00B657A4" w:rsidRPr="004D07DE">
        <w:rPr>
          <w:rFonts w:ascii="Arial" w:eastAsia="Arial" w:hAnsi="Arial" w:cs="Arial"/>
          <w:sz w:val="22"/>
          <w:szCs w:val="22"/>
        </w:rPr>
        <w:t xml:space="preserve">yanid sodný, jako CN, </w:t>
      </w:r>
      <w:r w:rsidRPr="004D07DE">
        <w:rPr>
          <w:rFonts w:ascii="Arial" w:eastAsia="Arial" w:hAnsi="Arial" w:cs="Arial"/>
          <w:sz w:val="22"/>
          <w:szCs w:val="22"/>
        </w:rPr>
        <w:t>h</w:t>
      </w:r>
      <w:r w:rsidR="00B657A4" w:rsidRPr="004D07DE">
        <w:rPr>
          <w:rFonts w:ascii="Arial" w:eastAsia="Arial" w:hAnsi="Arial" w:cs="Arial"/>
          <w:sz w:val="22"/>
          <w:szCs w:val="22"/>
        </w:rPr>
        <w:t xml:space="preserve">ydroxid vápenatý, </w:t>
      </w:r>
      <w:r w:rsidRPr="004D07DE">
        <w:rPr>
          <w:rFonts w:ascii="Arial" w:eastAsia="Arial" w:hAnsi="Arial" w:cs="Arial"/>
          <w:sz w:val="22"/>
          <w:szCs w:val="22"/>
        </w:rPr>
        <w:t>h</w:t>
      </w:r>
      <w:r w:rsidR="00B657A4" w:rsidRPr="004D07DE">
        <w:rPr>
          <w:rFonts w:ascii="Arial" w:eastAsia="Arial" w:hAnsi="Arial" w:cs="Arial"/>
          <w:sz w:val="22"/>
          <w:szCs w:val="22"/>
        </w:rPr>
        <w:t xml:space="preserve">ydrid lithný, </w:t>
      </w:r>
      <w:proofErr w:type="spellStart"/>
      <w:r w:rsidRPr="004D07DE">
        <w:rPr>
          <w:rFonts w:ascii="Arial" w:eastAsia="Arial" w:hAnsi="Arial" w:cs="Arial"/>
          <w:sz w:val="22"/>
          <w:szCs w:val="22"/>
        </w:rPr>
        <w:t>g</w:t>
      </w:r>
      <w:r w:rsidR="00453B32" w:rsidRPr="004D07DE">
        <w:rPr>
          <w:rFonts w:ascii="Arial" w:eastAsia="Arial" w:hAnsi="Arial" w:cs="Arial"/>
          <w:sz w:val="22"/>
          <w:szCs w:val="22"/>
        </w:rPr>
        <w:t>lyceroltrinitrát</w:t>
      </w:r>
      <w:proofErr w:type="spellEnd"/>
      <w:r w:rsidR="00453B32" w:rsidRPr="004D07DE">
        <w:rPr>
          <w:rFonts w:ascii="Arial" w:eastAsia="Arial" w:hAnsi="Arial" w:cs="Arial"/>
          <w:sz w:val="22"/>
          <w:szCs w:val="22"/>
        </w:rPr>
        <w:t>, 1,4-d</w:t>
      </w:r>
      <w:r w:rsidR="00B657A4" w:rsidRPr="004D07DE">
        <w:rPr>
          <w:rFonts w:ascii="Arial" w:eastAsia="Arial" w:hAnsi="Arial" w:cs="Arial"/>
          <w:sz w:val="22"/>
          <w:szCs w:val="22"/>
        </w:rPr>
        <w:t>ichlorbenzen</w:t>
      </w:r>
    </w:p>
    <w:p w:rsidR="00A44760" w:rsidRPr="004D07DE" w:rsidRDefault="00A44760" w:rsidP="004D07DE">
      <w:pPr>
        <w:pStyle w:val="odstavec1"/>
        <w:spacing w:before="0"/>
        <w:ind w:firstLine="0"/>
        <w:rPr>
          <w:rFonts w:ascii="Arial" w:eastAsia="MS Gothic" w:hAnsi="Arial" w:cs="Arial"/>
          <w:b/>
          <w:bCs/>
          <w:noProof/>
          <w:sz w:val="22"/>
          <w:szCs w:val="22"/>
        </w:rPr>
      </w:pPr>
    </w:p>
    <w:p w:rsidR="001F044E" w:rsidRPr="004D07DE" w:rsidRDefault="00A44760" w:rsidP="004D07DE">
      <w:pPr>
        <w:pStyle w:val="odstavec1"/>
        <w:spacing w:before="0"/>
        <w:ind w:firstLine="0"/>
        <w:rPr>
          <w:rFonts w:ascii="Arial" w:eastAsia="MS Gothic" w:hAnsi="Arial" w:cs="Arial"/>
          <w:b/>
          <w:bCs/>
          <w:noProof/>
          <w:sz w:val="22"/>
          <w:szCs w:val="22"/>
        </w:rPr>
      </w:pPr>
      <w:r w:rsidRPr="004D07DE">
        <w:rPr>
          <w:rFonts w:ascii="Arial" w:eastAsia="MS Gothic" w:hAnsi="Arial" w:cs="Arial"/>
          <w:b/>
          <w:bCs/>
          <w:noProof/>
          <w:sz w:val="22"/>
          <w:szCs w:val="22"/>
        </w:rPr>
        <w:t xml:space="preserve">C) Chemické látky, které nebudou směrnicí dotčeny </w:t>
      </w:r>
      <w:r w:rsidR="00B657A4" w:rsidRPr="004D07DE">
        <w:rPr>
          <w:rFonts w:ascii="Arial" w:eastAsia="MS Gothic" w:hAnsi="Arial" w:cs="Arial"/>
          <w:b/>
          <w:bCs/>
          <w:noProof/>
          <w:sz w:val="22"/>
          <w:szCs w:val="22"/>
        </w:rPr>
        <w:t>a</w:t>
      </w:r>
      <w:r w:rsidRPr="004D07DE">
        <w:rPr>
          <w:rFonts w:ascii="Arial" w:eastAsia="MS Gothic" w:hAnsi="Arial" w:cs="Arial"/>
          <w:b/>
          <w:bCs/>
          <w:noProof/>
          <w:sz w:val="22"/>
          <w:szCs w:val="22"/>
        </w:rPr>
        <w:t xml:space="preserve"> bude zachována národní úprava</w:t>
      </w:r>
      <w:r w:rsidR="00556C37" w:rsidRPr="004D07DE">
        <w:rPr>
          <w:rFonts w:ascii="Arial" w:eastAsia="MS Gothic" w:hAnsi="Arial" w:cs="Arial"/>
          <w:b/>
          <w:bCs/>
          <w:noProof/>
          <w:sz w:val="22"/>
          <w:szCs w:val="22"/>
        </w:rPr>
        <w:t xml:space="preserve"> </w:t>
      </w:r>
      <w:r w:rsidR="00F83EFF" w:rsidRPr="004D07DE">
        <w:rPr>
          <w:rFonts w:ascii="Arial" w:eastAsia="MS Gothic" w:hAnsi="Arial" w:cs="Arial"/>
          <w:b/>
          <w:bCs/>
          <w:noProof/>
          <w:sz w:val="22"/>
          <w:szCs w:val="22"/>
        </w:rPr>
        <w:t xml:space="preserve"> </w:t>
      </w:r>
    </w:p>
    <w:p w:rsidR="00723D5F" w:rsidRPr="004D07DE" w:rsidRDefault="00723D5F" w:rsidP="004D07DE">
      <w:pPr>
        <w:pStyle w:val="odstavec1"/>
        <w:spacing w:before="0"/>
        <w:ind w:firstLine="0"/>
        <w:rPr>
          <w:rFonts w:ascii="Arial" w:eastAsia="Arial" w:hAnsi="Arial" w:cs="Arial"/>
          <w:sz w:val="22"/>
          <w:szCs w:val="22"/>
        </w:rPr>
      </w:pPr>
      <w:r w:rsidRPr="004D07DE">
        <w:rPr>
          <w:rFonts w:ascii="Arial" w:eastAsia="Arial" w:hAnsi="Arial" w:cs="Arial"/>
          <w:sz w:val="22"/>
          <w:szCs w:val="22"/>
        </w:rPr>
        <w:t xml:space="preserve">oxid siřičitý, </w:t>
      </w:r>
      <w:proofErr w:type="spellStart"/>
      <w:r w:rsidR="00931501" w:rsidRPr="004D07DE">
        <w:rPr>
          <w:rFonts w:ascii="Arial" w:eastAsia="Arial" w:hAnsi="Arial" w:cs="Arial"/>
          <w:sz w:val="22"/>
          <w:szCs w:val="22"/>
        </w:rPr>
        <w:t>t</w:t>
      </w:r>
      <w:r w:rsidRPr="004D07DE">
        <w:rPr>
          <w:rFonts w:ascii="Arial" w:eastAsia="Arial" w:hAnsi="Arial" w:cs="Arial"/>
          <w:sz w:val="22"/>
          <w:szCs w:val="22"/>
        </w:rPr>
        <w:t>etrachlormethan</w:t>
      </w:r>
      <w:proofErr w:type="spellEnd"/>
      <w:r w:rsidRPr="004D07D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931501" w:rsidRPr="004D07DE">
        <w:rPr>
          <w:rFonts w:ascii="Arial" w:eastAsia="Arial" w:hAnsi="Arial" w:cs="Arial"/>
          <w:sz w:val="22"/>
          <w:szCs w:val="22"/>
        </w:rPr>
        <w:t>t</w:t>
      </w:r>
      <w:r w:rsidRPr="004D07DE">
        <w:rPr>
          <w:rFonts w:ascii="Arial" w:eastAsia="Arial" w:hAnsi="Arial" w:cs="Arial"/>
          <w:sz w:val="22"/>
          <w:szCs w:val="22"/>
        </w:rPr>
        <w:t>etraethylsilikát</w:t>
      </w:r>
      <w:proofErr w:type="spellEnd"/>
      <w:r w:rsidR="00B657A4" w:rsidRPr="004D07DE">
        <w:rPr>
          <w:rFonts w:ascii="Arial" w:eastAsia="Arial" w:hAnsi="Arial" w:cs="Arial"/>
          <w:sz w:val="22"/>
          <w:szCs w:val="22"/>
        </w:rPr>
        <w:t xml:space="preserve">, </w:t>
      </w:r>
      <w:r w:rsidR="00931501" w:rsidRPr="004D07DE">
        <w:rPr>
          <w:rFonts w:ascii="Arial" w:eastAsia="Arial" w:hAnsi="Arial" w:cs="Arial"/>
          <w:sz w:val="22"/>
          <w:szCs w:val="22"/>
        </w:rPr>
        <w:t>k</w:t>
      </w:r>
      <w:r w:rsidR="00B657A4" w:rsidRPr="004D07DE">
        <w:rPr>
          <w:rFonts w:ascii="Arial" w:eastAsia="Arial" w:hAnsi="Arial" w:cs="Arial"/>
          <w:sz w:val="22"/>
          <w:szCs w:val="22"/>
        </w:rPr>
        <w:t xml:space="preserve">yselina octová, </w:t>
      </w:r>
      <w:proofErr w:type="spellStart"/>
      <w:r w:rsidR="00931501" w:rsidRPr="004D07DE">
        <w:rPr>
          <w:rFonts w:ascii="Arial" w:eastAsia="Arial" w:hAnsi="Arial" w:cs="Arial"/>
          <w:sz w:val="22"/>
          <w:szCs w:val="22"/>
        </w:rPr>
        <w:t>e</w:t>
      </w:r>
      <w:r w:rsidR="00B657A4" w:rsidRPr="004D07DE">
        <w:rPr>
          <w:rFonts w:ascii="Arial" w:eastAsia="Arial" w:hAnsi="Arial" w:cs="Arial"/>
          <w:sz w:val="22"/>
          <w:szCs w:val="22"/>
        </w:rPr>
        <w:t>thylacetát</w:t>
      </w:r>
      <w:proofErr w:type="spellEnd"/>
      <w:r w:rsidR="00B657A4" w:rsidRPr="004D07D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931501" w:rsidRPr="004D07DE">
        <w:rPr>
          <w:rFonts w:ascii="Arial" w:eastAsia="Arial" w:hAnsi="Arial" w:cs="Arial"/>
          <w:sz w:val="22"/>
          <w:szCs w:val="22"/>
        </w:rPr>
        <w:t>d</w:t>
      </w:r>
      <w:r w:rsidR="00B657A4" w:rsidRPr="004D07DE">
        <w:rPr>
          <w:rFonts w:ascii="Arial" w:eastAsia="Arial" w:hAnsi="Arial" w:cs="Arial"/>
          <w:sz w:val="22"/>
          <w:szCs w:val="22"/>
        </w:rPr>
        <w:t>ichlormethan</w:t>
      </w:r>
      <w:proofErr w:type="spellEnd"/>
      <w:r w:rsidR="00B657A4" w:rsidRPr="004D07DE"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 w:rsidR="00B657A4" w:rsidRPr="004D07DE">
        <w:rPr>
          <w:rFonts w:ascii="Arial" w:eastAsia="Arial" w:hAnsi="Arial" w:cs="Arial"/>
          <w:sz w:val="22"/>
          <w:szCs w:val="22"/>
        </w:rPr>
        <w:t>1,1-</w:t>
      </w:r>
      <w:r w:rsidR="00453B32" w:rsidRPr="004D07DE">
        <w:rPr>
          <w:rFonts w:ascii="Arial" w:eastAsia="Arial" w:hAnsi="Arial" w:cs="Arial"/>
          <w:sz w:val="22"/>
          <w:szCs w:val="22"/>
        </w:rPr>
        <w:t>d</w:t>
      </w:r>
      <w:r w:rsidR="00B657A4" w:rsidRPr="004D07DE">
        <w:rPr>
          <w:rFonts w:ascii="Arial" w:eastAsia="Arial" w:hAnsi="Arial" w:cs="Arial"/>
          <w:sz w:val="22"/>
          <w:szCs w:val="22"/>
        </w:rPr>
        <w:t>ichlorethen</w:t>
      </w:r>
      <w:proofErr w:type="gramEnd"/>
      <w:r w:rsidR="00B657A4" w:rsidRPr="004D07D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931501" w:rsidRPr="004D07DE">
        <w:rPr>
          <w:rFonts w:ascii="Arial" w:eastAsia="Arial" w:hAnsi="Arial" w:cs="Arial"/>
          <w:sz w:val="22"/>
          <w:szCs w:val="22"/>
        </w:rPr>
        <w:t>d</w:t>
      </w:r>
      <w:r w:rsidR="00B657A4" w:rsidRPr="004D07DE">
        <w:rPr>
          <w:rFonts w:ascii="Arial" w:eastAsia="Arial" w:hAnsi="Arial" w:cs="Arial"/>
          <w:sz w:val="22"/>
          <w:szCs w:val="22"/>
        </w:rPr>
        <w:t>ifenylether</w:t>
      </w:r>
      <w:proofErr w:type="spellEnd"/>
      <w:r w:rsidR="00B657A4" w:rsidRPr="004D07DE">
        <w:rPr>
          <w:rFonts w:ascii="Arial" w:eastAsia="Arial" w:hAnsi="Arial" w:cs="Arial"/>
          <w:sz w:val="22"/>
          <w:szCs w:val="22"/>
        </w:rPr>
        <w:t>, 2,2-</w:t>
      </w:r>
      <w:r w:rsidR="00453B32" w:rsidRPr="004D07DE">
        <w:rPr>
          <w:rFonts w:ascii="Arial" w:eastAsia="Arial" w:hAnsi="Arial" w:cs="Arial"/>
          <w:sz w:val="22"/>
          <w:szCs w:val="22"/>
        </w:rPr>
        <w:t>b</w:t>
      </w:r>
      <w:r w:rsidR="00B657A4" w:rsidRPr="004D07DE">
        <w:rPr>
          <w:rFonts w:ascii="Arial" w:eastAsia="Arial" w:hAnsi="Arial" w:cs="Arial"/>
          <w:sz w:val="22"/>
          <w:szCs w:val="22"/>
        </w:rPr>
        <w:t>is(4-hydroxyfenyl)propan</w:t>
      </w:r>
    </w:p>
    <w:p w:rsidR="001F044E" w:rsidRPr="004D07DE" w:rsidRDefault="001F044E" w:rsidP="004D07DE">
      <w:pPr>
        <w:pStyle w:val="odstavec1"/>
        <w:spacing w:before="0"/>
        <w:ind w:firstLine="0"/>
        <w:rPr>
          <w:rFonts w:ascii="Arial" w:eastAsia="MS Gothic" w:hAnsi="Arial" w:cs="Arial"/>
          <w:bCs/>
          <w:noProof/>
          <w:sz w:val="22"/>
          <w:szCs w:val="22"/>
        </w:rPr>
      </w:pPr>
    </w:p>
    <w:p w:rsidR="00A44760" w:rsidRPr="004D07DE" w:rsidRDefault="00A44760" w:rsidP="004D07DE">
      <w:pPr>
        <w:pStyle w:val="odstavec1"/>
        <w:spacing w:before="0"/>
        <w:ind w:firstLine="0"/>
        <w:rPr>
          <w:rFonts w:ascii="Arial" w:eastAsia="MS Gothic" w:hAnsi="Arial" w:cs="Arial"/>
          <w:bCs/>
          <w:noProof/>
          <w:sz w:val="22"/>
          <w:szCs w:val="22"/>
        </w:rPr>
      </w:pPr>
      <w:r w:rsidRPr="004D07DE">
        <w:rPr>
          <w:rFonts w:ascii="Arial" w:eastAsia="MS Gothic" w:hAnsi="Arial" w:cs="Arial"/>
          <w:bCs/>
          <w:noProof/>
          <w:sz w:val="22"/>
          <w:szCs w:val="22"/>
        </w:rPr>
        <w:t>Podle informačního systému Kategorizace práce se navržené úpravy dotknou cca</w:t>
      </w:r>
      <w:r w:rsidR="00555F6E" w:rsidRPr="004D07DE">
        <w:rPr>
          <w:rFonts w:ascii="Arial" w:eastAsia="MS Gothic" w:hAnsi="Arial" w:cs="Arial"/>
          <w:bCs/>
          <w:noProof/>
          <w:sz w:val="22"/>
          <w:szCs w:val="22"/>
        </w:rPr>
        <w:t xml:space="preserve"> 14.000</w:t>
      </w:r>
      <w:r w:rsidRPr="004D07DE">
        <w:rPr>
          <w:rFonts w:ascii="Arial" w:eastAsia="MS Gothic" w:hAnsi="Arial" w:cs="Arial"/>
          <w:bCs/>
          <w:noProof/>
          <w:sz w:val="22"/>
          <w:szCs w:val="22"/>
        </w:rPr>
        <w:t xml:space="preserve"> zaměstnanců. </w:t>
      </w:r>
      <w:r w:rsidR="00555F6E" w:rsidRPr="004D07DE">
        <w:rPr>
          <w:rFonts w:ascii="Arial" w:eastAsia="MS Gothic" w:hAnsi="Arial" w:cs="Arial"/>
          <w:bCs/>
          <w:noProof/>
          <w:sz w:val="22"/>
          <w:szCs w:val="22"/>
        </w:rPr>
        <w:t xml:space="preserve">Zejména cca 2.500 zaměstnanců při práci s manganem, cca 6.000 při práci s oxidem uhelnatým, cca 1.000 zaměstnanců při práci s kyselinovou octovou a cca 900 zaměstnanců při práci s tetrachlorethenem a dále s hydroxidem vápenatým. </w:t>
      </w:r>
    </w:p>
    <w:p w:rsidR="00555F6E" w:rsidRPr="004D07DE" w:rsidRDefault="00555F6E" w:rsidP="004D07DE">
      <w:pPr>
        <w:spacing w:line="240" w:lineRule="auto"/>
        <w:jc w:val="both"/>
        <w:rPr>
          <w:rFonts w:ascii="Arial" w:hAnsi="Arial" w:cs="Arial"/>
          <w:color w:val="7030A0"/>
        </w:rPr>
      </w:pPr>
    </w:p>
    <w:p w:rsidR="00885AAB" w:rsidRPr="004D07DE" w:rsidRDefault="00320FB4" w:rsidP="004D07DE">
      <w:pPr>
        <w:pStyle w:val="odstavec1"/>
        <w:spacing w:before="0"/>
        <w:ind w:firstLine="0"/>
        <w:rPr>
          <w:rFonts w:ascii="Arial" w:hAnsi="Arial" w:cs="Arial"/>
          <w:bCs/>
          <w:iCs/>
          <w:noProof/>
          <w:sz w:val="22"/>
          <w:szCs w:val="22"/>
        </w:rPr>
      </w:pPr>
      <w:r w:rsidRPr="004D07DE">
        <w:rPr>
          <w:rFonts w:ascii="Arial" w:eastAsia="MS Gothic" w:hAnsi="Arial" w:cs="Arial"/>
          <w:bCs/>
          <w:noProof/>
          <w:sz w:val="22"/>
          <w:szCs w:val="22"/>
        </w:rPr>
        <w:t xml:space="preserve">Předpokládá se </w:t>
      </w:r>
      <w:r w:rsidR="00DF0535" w:rsidRPr="004D07DE">
        <w:rPr>
          <w:rFonts w:ascii="Arial" w:eastAsia="MS Gothic" w:hAnsi="Arial" w:cs="Arial"/>
          <w:bCs/>
          <w:noProof/>
          <w:sz w:val="22"/>
          <w:szCs w:val="22"/>
        </w:rPr>
        <w:t xml:space="preserve">finanční </w:t>
      </w:r>
      <w:r w:rsidRPr="004D07DE">
        <w:rPr>
          <w:rFonts w:ascii="Arial" w:eastAsia="MS Gothic" w:hAnsi="Arial" w:cs="Arial"/>
          <w:bCs/>
          <w:noProof/>
          <w:sz w:val="22"/>
          <w:szCs w:val="22"/>
        </w:rPr>
        <w:t xml:space="preserve">dopad na podnikatelské subjekty </w:t>
      </w:r>
      <w:r w:rsidRPr="004D07DE">
        <w:rPr>
          <w:rFonts w:ascii="Arial" w:hAnsi="Arial" w:cs="Arial"/>
          <w:bCs/>
          <w:iCs/>
          <w:noProof/>
          <w:sz w:val="22"/>
          <w:szCs w:val="22"/>
        </w:rPr>
        <w:t xml:space="preserve">u těch zaměstnavatelů, </w:t>
      </w:r>
      <w:r w:rsidR="00DF0535" w:rsidRPr="004D07DE">
        <w:rPr>
          <w:rFonts w:ascii="Arial" w:hAnsi="Arial" w:cs="Arial"/>
          <w:bCs/>
          <w:iCs/>
          <w:noProof/>
          <w:sz w:val="22"/>
          <w:szCs w:val="22"/>
        </w:rPr>
        <w:t xml:space="preserve">jejichž provoz </w:t>
      </w:r>
      <w:r w:rsidR="00437306" w:rsidRPr="004D07DE">
        <w:rPr>
          <w:rFonts w:ascii="Arial" w:hAnsi="Arial" w:cs="Arial"/>
          <w:bCs/>
          <w:iCs/>
          <w:noProof/>
          <w:sz w:val="22"/>
          <w:szCs w:val="22"/>
        </w:rPr>
        <w:t xml:space="preserve">využívá řešené chemické látky. Předpokládá se, že technologický proces může doznat z důvodu vyšší ochrany zdraví zaměstnanců změn. </w:t>
      </w:r>
      <w:r w:rsidR="00885AAB" w:rsidRPr="004D07DE">
        <w:rPr>
          <w:rFonts w:ascii="Arial" w:hAnsi="Arial" w:cs="Arial"/>
          <w:bCs/>
          <w:iCs/>
          <w:noProof/>
          <w:sz w:val="22"/>
          <w:szCs w:val="22"/>
        </w:rPr>
        <w:t xml:space="preserve">U podnikatelských subjektů se bude většinou jednat o jednorázové investice, které </w:t>
      </w:r>
      <w:r w:rsidR="00483C09" w:rsidRPr="004D07DE">
        <w:rPr>
          <w:rFonts w:ascii="Arial" w:hAnsi="Arial" w:cs="Arial"/>
          <w:bCs/>
          <w:iCs/>
          <w:noProof/>
          <w:sz w:val="22"/>
          <w:szCs w:val="22"/>
        </w:rPr>
        <w:t xml:space="preserve">by měly </w:t>
      </w:r>
      <w:r w:rsidR="00885AAB" w:rsidRPr="004D07DE">
        <w:rPr>
          <w:rFonts w:ascii="Arial" w:hAnsi="Arial" w:cs="Arial"/>
          <w:bCs/>
          <w:iCs/>
          <w:noProof/>
          <w:sz w:val="22"/>
          <w:szCs w:val="22"/>
        </w:rPr>
        <w:t>přin</w:t>
      </w:r>
      <w:r w:rsidR="00483C09" w:rsidRPr="004D07DE">
        <w:rPr>
          <w:rFonts w:ascii="Arial" w:hAnsi="Arial" w:cs="Arial"/>
          <w:bCs/>
          <w:iCs/>
          <w:noProof/>
          <w:sz w:val="22"/>
          <w:szCs w:val="22"/>
        </w:rPr>
        <w:t>ést</w:t>
      </w:r>
      <w:r w:rsidR="00885AAB" w:rsidRPr="004D07DE">
        <w:rPr>
          <w:rFonts w:ascii="Arial" w:hAnsi="Arial" w:cs="Arial"/>
          <w:bCs/>
          <w:iCs/>
          <w:noProof/>
          <w:sz w:val="22"/>
          <w:szCs w:val="22"/>
        </w:rPr>
        <w:t xml:space="preserve"> pozitivní dopad na zdraví zaměstnanců. Navrhované limitní hodnoty expozice na pracovišti jsou důležitou součástí obecných opatření na ochranu zaměstnanců před zdravotními riziky právě vyplývající z nebezpečné expoz</w:t>
      </w:r>
      <w:r w:rsidR="00483C09" w:rsidRPr="004D07DE">
        <w:rPr>
          <w:rFonts w:ascii="Arial" w:hAnsi="Arial" w:cs="Arial"/>
          <w:bCs/>
          <w:iCs/>
          <w:noProof/>
          <w:sz w:val="22"/>
          <w:szCs w:val="22"/>
        </w:rPr>
        <w:t>i</w:t>
      </w:r>
      <w:r w:rsidR="00885AAB" w:rsidRPr="004D07DE">
        <w:rPr>
          <w:rFonts w:ascii="Arial" w:hAnsi="Arial" w:cs="Arial"/>
          <w:bCs/>
          <w:iCs/>
          <w:noProof/>
          <w:sz w:val="22"/>
          <w:szCs w:val="22"/>
        </w:rPr>
        <w:t xml:space="preserve">ce chemickým látkám. Nejedná se pouze o jediné opatření zajišťující ochranu zdraví. </w:t>
      </w:r>
      <w:r w:rsidR="00307FC2" w:rsidRPr="004D07DE">
        <w:rPr>
          <w:rFonts w:ascii="Arial" w:hAnsi="Arial" w:cs="Arial"/>
          <w:bCs/>
          <w:iCs/>
          <w:noProof/>
          <w:sz w:val="22"/>
          <w:szCs w:val="22"/>
        </w:rPr>
        <w:t>Úprava limitních hodnot nepředpokládá navyšování například finančních nákladů k zajištění pracovnělékařských služeb jako jednoho z dalších možných opatření ochrany z</w:t>
      </w:r>
      <w:r w:rsidR="00BF02EB" w:rsidRPr="004D07DE">
        <w:rPr>
          <w:rFonts w:ascii="Arial" w:hAnsi="Arial" w:cs="Arial"/>
          <w:bCs/>
          <w:iCs/>
          <w:noProof/>
          <w:sz w:val="22"/>
          <w:szCs w:val="22"/>
        </w:rPr>
        <w:t>d</w:t>
      </w:r>
      <w:r w:rsidR="00307FC2" w:rsidRPr="004D07DE">
        <w:rPr>
          <w:rFonts w:ascii="Arial" w:hAnsi="Arial" w:cs="Arial"/>
          <w:bCs/>
          <w:iCs/>
          <w:noProof/>
          <w:sz w:val="22"/>
          <w:szCs w:val="22"/>
        </w:rPr>
        <w:t>raví zaměstnanců</w:t>
      </w:r>
      <w:r w:rsidR="009118B5" w:rsidRPr="004D07DE">
        <w:rPr>
          <w:rFonts w:ascii="Arial" w:hAnsi="Arial" w:cs="Arial"/>
          <w:bCs/>
          <w:iCs/>
          <w:noProof/>
          <w:sz w:val="22"/>
          <w:szCs w:val="22"/>
        </w:rPr>
        <w:t xml:space="preserve"> (vyjma nově zavedených</w:t>
      </w:r>
      <w:r w:rsidR="0098390A" w:rsidRPr="004D07DE">
        <w:rPr>
          <w:rFonts w:ascii="Arial" w:hAnsi="Arial" w:cs="Arial"/>
          <w:bCs/>
          <w:iCs/>
          <w:noProof/>
          <w:sz w:val="22"/>
          <w:szCs w:val="22"/>
        </w:rPr>
        <w:t xml:space="preserve"> limitních hodnot)</w:t>
      </w:r>
      <w:r w:rsidR="00307FC2" w:rsidRPr="004D07DE">
        <w:rPr>
          <w:rFonts w:ascii="Arial" w:hAnsi="Arial" w:cs="Arial"/>
          <w:bCs/>
          <w:iCs/>
          <w:noProof/>
          <w:sz w:val="22"/>
          <w:szCs w:val="22"/>
        </w:rPr>
        <w:t xml:space="preserve">. </w:t>
      </w:r>
    </w:p>
    <w:p w:rsidR="00307FC2" w:rsidRPr="004D07DE" w:rsidRDefault="00307FC2" w:rsidP="004D07DE">
      <w:pPr>
        <w:pStyle w:val="odstavec1"/>
        <w:spacing w:before="0"/>
        <w:ind w:firstLine="0"/>
        <w:rPr>
          <w:rFonts w:ascii="Arial" w:hAnsi="Arial" w:cs="Arial"/>
          <w:bCs/>
          <w:iCs/>
          <w:noProof/>
          <w:sz w:val="22"/>
          <w:szCs w:val="22"/>
        </w:rPr>
      </w:pPr>
      <w:r w:rsidRPr="004D07DE">
        <w:rPr>
          <w:rFonts w:ascii="Arial" w:hAnsi="Arial" w:cs="Arial"/>
          <w:bCs/>
          <w:iCs/>
          <w:noProof/>
          <w:sz w:val="22"/>
          <w:szCs w:val="22"/>
        </w:rPr>
        <w:t xml:space="preserve">V případě nově zaváděných limitních hodnot expozice nelze odhadnout počet zaměstnanců či provozů, na které zavedení těchto hodnot bude mít vliv. </w:t>
      </w:r>
    </w:p>
    <w:p w:rsidR="00320FB4" w:rsidRPr="004D07DE" w:rsidRDefault="00320FB4" w:rsidP="004D07DE">
      <w:pPr>
        <w:pStyle w:val="odstavec1"/>
        <w:spacing w:before="0"/>
        <w:ind w:firstLine="0"/>
        <w:rPr>
          <w:rFonts w:ascii="Arial" w:eastAsia="Arial" w:hAnsi="Arial" w:cs="Arial"/>
          <w:sz w:val="22"/>
          <w:szCs w:val="22"/>
        </w:rPr>
      </w:pPr>
    </w:p>
    <w:p w:rsidR="00206A86" w:rsidRPr="004D07DE" w:rsidRDefault="00151081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 xml:space="preserve">Významný </w:t>
      </w:r>
      <w:r w:rsidR="00296745" w:rsidRPr="004D07DE">
        <w:rPr>
          <w:rFonts w:ascii="Arial" w:eastAsia="Arial" w:hAnsi="Arial" w:cs="Arial"/>
        </w:rPr>
        <w:t>pozitivní vliv</w:t>
      </w:r>
      <w:r w:rsidRPr="004D07DE">
        <w:rPr>
          <w:rFonts w:ascii="Arial" w:eastAsia="Arial" w:hAnsi="Arial" w:cs="Arial"/>
        </w:rPr>
        <w:t xml:space="preserve"> na podnikatelské subjekty spatřujeme v návrhu </w:t>
      </w:r>
      <w:r w:rsidR="0029537F">
        <w:rPr>
          <w:rFonts w:ascii="Arial" w:eastAsia="Arial" w:hAnsi="Arial" w:cs="Arial"/>
        </w:rPr>
        <w:t xml:space="preserve">úpravy ustanovení </w:t>
      </w:r>
      <w:r w:rsidRPr="004D07DE">
        <w:rPr>
          <w:rFonts w:ascii="Arial" w:eastAsia="Arial" w:hAnsi="Arial" w:cs="Arial"/>
        </w:rPr>
        <w:t>§</w:t>
      </w:r>
      <w:r w:rsidR="0029537F">
        <w:rPr>
          <w:rFonts w:ascii="Arial" w:eastAsia="Arial" w:hAnsi="Arial" w:cs="Arial"/>
        </w:rPr>
        <w:t> </w:t>
      </w:r>
      <w:r w:rsidRPr="004D07DE">
        <w:rPr>
          <w:rFonts w:ascii="Arial" w:eastAsia="Arial" w:hAnsi="Arial" w:cs="Arial"/>
        </w:rPr>
        <w:t>25 odst. 9.</w:t>
      </w:r>
      <w:r w:rsidR="00F17B72" w:rsidRPr="004D07DE">
        <w:rPr>
          <w:rFonts w:ascii="Arial" w:eastAsia="Arial" w:hAnsi="Arial" w:cs="Arial"/>
        </w:rPr>
        <w:t xml:space="preserve"> Postup podle </w:t>
      </w:r>
      <w:r w:rsidR="0001355E" w:rsidRPr="004D07DE">
        <w:rPr>
          <w:rFonts w:ascii="Arial" w:eastAsia="Arial" w:hAnsi="Arial" w:cs="Arial"/>
        </w:rPr>
        <w:t>návrhu</w:t>
      </w:r>
      <w:r w:rsidR="00F17B72" w:rsidRPr="004D07DE">
        <w:rPr>
          <w:rFonts w:ascii="Arial" w:eastAsia="Arial" w:hAnsi="Arial" w:cs="Arial"/>
        </w:rPr>
        <w:t xml:space="preserve"> umož</w:t>
      </w:r>
      <w:r w:rsidR="0001355E" w:rsidRPr="004D07DE">
        <w:rPr>
          <w:rFonts w:ascii="Arial" w:eastAsia="Arial" w:hAnsi="Arial" w:cs="Arial"/>
        </w:rPr>
        <w:t xml:space="preserve">ní </w:t>
      </w:r>
      <w:r w:rsidR="00F17B72" w:rsidRPr="004D07DE">
        <w:rPr>
          <w:rFonts w:ascii="Arial" w:eastAsia="Arial" w:hAnsi="Arial" w:cs="Arial"/>
        </w:rPr>
        <w:t>pro faktor lokální svalová zátěž</w:t>
      </w:r>
      <w:r w:rsidR="00FC55E8" w:rsidRPr="004D07DE">
        <w:rPr>
          <w:rFonts w:ascii="Arial" w:eastAsia="Arial" w:hAnsi="Arial" w:cs="Arial"/>
        </w:rPr>
        <w:t xml:space="preserve"> předložit orgánu ochrany veřejného zdraví pro kategorizaci práce</w:t>
      </w:r>
      <w:r w:rsidR="00A377FA" w:rsidRPr="004D07DE">
        <w:rPr>
          <w:rFonts w:ascii="Arial" w:eastAsia="Arial" w:hAnsi="Arial" w:cs="Arial"/>
        </w:rPr>
        <w:t>,</w:t>
      </w:r>
      <w:r w:rsidR="00FC55E8" w:rsidRPr="004D07DE">
        <w:rPr>
          <w:rFonts w:ascii="Arial" w:eastAsia="Arial" w:hAnsi="Arial" w:cs="Arial"/>
        </w:rPr>
        <w:t xml:space="preserve"> vyjma měření daného faktoru</w:t>
      </w:r>
      <w:r w:rsidR="00A377FA" w:rsidRPr="004D07DE">
        <w:rPr>
          <w:rFonts w:ascii="Arial" w:eastAsia="Arial" w:hAnsi="Arial" w:cs="Arial"/>
        </w:rPr>
        <w:t>,</w:t>
      </w:r>
      <w:r w:rsidR="00FC55E8" w:rsidRPr="004D07DE">
        <w:rPr>
          <w:rFonts w:ascii="Arial" w:eastAsia="Arial" w:hAnsi="Arial" w:cs="Arial"/>
        </w:rPr>
        <w:t xml:space="preserve"> </w:t>
      </w:r>
      <w:r w:rsidR="00A377FA" w:rsidRPr="004D07DE">
        <w:rPr>
          <w:rFonts w:ascii="Arial" w:eastAsia="Arial" w:hAnsi="Arial" w:cs="Arial"/>
        </w:rPr>
        <w:t>také</w:t>
      </w:r>
      <w:r w:rsidR="00FC55E8" w:rsidRPr="004D07DE">
        <w:rPr>
          <w:rFonts w:ascii="Arial" w:eastAsia="Arial" w:hAnsi="Arial" w:cs="Arial"/>
        </w:rPr>
        <w:t xml:space="preserve"> odborné hodnocení vycházející z hodnocení rizikovosti </w:t>
      </w:r>
      <w:r w:rsidR="0001355E" w:rsidRPr="004D07DE">
        <w:rPr>
          <w:rFonts w:ascii="Arial" w:eastAsia="Arial" w:hAnsi="Arial" w:cs="Arial"/>
        </w:rPr>
        <w:t xml:space="preserve">dané práce, které bude prováděno akreditovanou nebo autorizovanou osobou. </w:t>
      </w:r>
      <w:r w:rsidR="004264AE" w:rsidRPr="004D07DE">
        <w:rPr>
          <w:rFonts w:ascii="Arial" w:eastAsia="Arial" w:hAnsi="Arial" w:cs="Arial"/>
        </w:rPr>
        <w:t xml:space="preserve">Každá objektivizace faktorů pracovního prostředí s sebou přináší finanční náročnost pro podnikatelský subjekt. V případě objektivizace faktoru lokální svalová zátěž je prováděno </w:t>
      </w:r>
      <w:r w:rsidR="00CC51ED" w:rsidRPr="004D07DE">
        <w:rPr>
          <w:rFonts w:ascii="Arial" w:eastAsia="Arial" w:hAnsi="Arial" w:cs="Arial"/>
        </w:rPr>
        <w:t>a</w:t>
      </w:r>
      <w:r w:rsidR="0042594B" w:rsidRPr="004D07DE">
        <w:rPr>
          <w:rFonts w:ascii="Arial" w:eastAsia="Arial" w:hAnsi="Arial" w:cs="Arial"/>
        </w:rPr>
        <w:t xml:space="preserve">utorizované měření </w:t>
      </w:r>
      <w:r w:rsidR="0042594B" w:rsidRPr="004D07DE">
        <w:rPr>
          <w:rFonts w:ascii="Arial" w:eastAsia="Arial" w:hAnsi="Arial" w:cs="Arial"/>
          <w:bCs/>
        </w:rPr>
        <w:t>lokální svalové zátěže</w:t>
      </w:r>
      <w:r w:rsidR="0042594B" w:rsidRPr="004D07DE">
        <w:rPr>
          <w:rFonts w:ascii="Arial" w:eastAsia="Arial" w:hAnsi="Arial" w:cs="Arial"/>
        </w:rPr>
        <w:t xml:space="preserve"> v souvislosti s přetěžováním pohybového aparátu fyzikálními metodami a metodou integrované elektromyografie</w:t>
      </w:r>
      <w:r w:rsidR="00CC51ED" w:rsidRPr="004D07DE">
        <w:rPr>
          <w:rFonts w:ascii="Arial" w:eastAsia="Arial" w:hAnsi="Arial" w:cs="Arial"/>
        </w:rPr>
        <w:t xml:space="preserve">. </w:t>
      </w:r>
      <w:r w:rsidR="004539FA" w:rsidRPr="004D07DE">
        <w:rPr>
          <w:rFonts w:ascii="Arial" w:eastAsia="Arial" w:hAnsi="Arial" w:cs="Arial"/>
        </w:rPr>
        <w:t xml:space="preserve">Objektivizace prostřednictvím měření je v souladu se zákonem o ochraně veřejného zdraví a prováděcího právního předpisu prováděna autorizovanou nebo akreditovanou osobou na pracovišti pro všechny kategorie práce mimo kategorie práce </w:t>
      </w:r>
      <w:r w:rsidR="004539FA" w:rsidRPr="004D07DE">
        <w:rPr>
          <w:rFonts w:ascii="Arial" w:eastAsia="Arial" w:hAnsi="Arial" w:cs="Arial"/>
        </w:rPr>
        <w:lastRenderedPageBreak/>
        <w:t>první</w:t>
      </w:r>
      <w:r w:rsidR="00256C6E" w:rsidRPr="004D07DE">
        <w:rPr>
          <w:rFonts w:ascii="Arial" w:eastAsia="Arial" w:hAnsi="Arial" w:cs="Arial"/>
        </w:rPr>
        <w:t xml:space="preserve">, resp. včetně kategorie druhé, kde podle současné úrovně poznání již </w:t>
      </w:r>
      <w:r w:rsidR="00F57CE9" w:rsidRPr="004D07DE">
        <w:rPr>
          <w:rFonts w:ascii="Arial" w:eastAsia="Arial" w:hAnsi="Arial" w:cs="Arial"/>
        </w:rPr>
        <w:t xml:space="preserve">lze </w:t>
      </w:r>
      <w:r w:rsidR="00256C6E" w:rsidRPr="004D07DE">
        <w:rPr>
          <w:rFonts w:ascii="Arial" w:eastAsia="Arial" w:hAnsi="Arial" w:cs="Arial"/>
        </w:rPr>
        <w:t>předpoklád</w:t>
      </w:r>
      <w:r w:rsidR="00F57CE9" w:rsidRPr="004D07DE">
        <w:rPr>
          <w:rFonts w:ascii="Arial" w:eastAsia="Arial" w:hAnsi="Arial" w:cs="Arial"/>
        </w:rPr>
        <w:t xml:space="preserve">at, že by mohly nepříznivě ovlivnit zdraví zaměstnanců. Tento předpoklad je ale pouze u vnímavých jedinců. V současné době by pro faktor lokální svalová zátěž mělo být prováděna totožná objektivizace jako pro kategorii třetí, kde </w:t>
      </w:r>
      <w:r w:rsidR="006A3671" w:rsidRPr="004D07DE">
        <w:rPr>
          <w:rFonts w:ascii="Arial" w:eastAsia="Arial" w:hAnsi="Arial" w:cs="Arial"/>
        </w:rPr>
        <w:t xml:space="preserve">lze ze současného poznání již pokládat, že práce je spojená se vznikem nemocí z povolání a může docházet k překračování stanovených hygienických limitů. </w:t>
      </w:r>
      <w:r w:rsidR="00206A86" w:rsidRPr="004D07DE">
        <w:rPr>
          <w:rFonts w:ascii="Arial" w:eastAsia="Arial" w:hAnsi="Arial" w:cs="Arial"/>
        </w:rPr>
        <w:t>Nově je navrhováno, aby vyjma měření k objektivizac</w:t>
      </w:r>
      <w:r w:rsidR="00FE243D" w:rsidRPr="004D07DE">
        <w:rPr>
          <w:rFonts w:ascii="Arial" w:eastAsia="Arial" w:hAnsi="Arial" w:cs="Arial"/>
        </w:rPr>
        <w:t>i</w:t>
      </w:r>
      <w:r w:rsidR="00206A86" w:rsidRPr="004D07DE">
        <w:rPr>
          <w:rFonts w:ascii="Arial" w:eastAsia="Arial" w:hAnsi="Arial" w:cs="Arial"/>
        </w:rPr>
        <w:t xml:space="preserve"> faktoru lokální svalové zátěže pro práci nerizikovou sloužilo i odborné posouzení prováděné autorizovanou nebo akreditovanou osobou. </w:t>
      </w:r>
    </w:p>
    <w:p w:rsidR="007F2DF5" w:rsidRPr="004D07DE" w:rsidRDefault="00206A86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 xml:space="preserve">Návrhem dojde ke snížení časové náročnosti objektivizace faktoru práce, ale také k významnému </w:t>
      </w:r>
      <w:r w:rsidR="00CC51ED" w:rsidRPr="004D07DE">
        <w:rPr>
          <w:rFonts w:ascii="Arial" w:eastAsia="Arial" w:hAnsi="Arial" w:cs="Arial"/>
        </w:rPr>
        <w:t>snížení finanční zátěže pro podnikatelské subjekty</w:t>
      </w:r>
      <w:r w:rsidRPr="004D07DE">
        <w:rPr>
          <w:rFonts w:ascii="Arial" w:eastAsia="Arial" w:hAnsi="Arial" w:cs="Arial"/>
        </w:rPr>
        <w:t>, které se v daném případě předpokládá v</w:t>
      </w:r>
      <w:r w:rsidR="00CC51ED" w:rsidRPr="004D07DE">
        <w:rPr>
          <w:rFonts w:ascii="Arial" w:eastAsia="Arial" w:hAnsi="Arial" w:cs="Arial"/>
        </w:rPr>
        <w:t> řád</w:t>
      </w:r>
      <w:r w:rsidR="00FE243D" w:rsidRPr="004D07DE">
        <w:rPr>
          <w:rFonts w:ascii="Arial" w:eastAsia="Arial" w:hAnsi="Arial" w:cs="Arial"/>
        </w:rPr>
        <w:t>u</w:t>
      </w:r>
      <w:r w:rsidR="00CC51ED" w:rsidRPr="004D07DE">
        <w:rPr>
          <w:rFonts w:ascii="Arial" w:eastAsia="Arial" w:hAnsi="Arial" w:cs="Arial"/>
        </w:rPr>
        <w:t xml:space="preserve"> tisíců korun pro jednu hodnocenou pracovní pozici</w:t>
      </w:r>
      <w:r w:rsidR="004D017C" w:rsidRPr="004D07DE">
        <w:rPr>
          <w:rFonts w:ascii="Arial" w:eastAsia="Arial" w:hAnsi="Arial" w:cs="Arial"/>
        </w:rPr>
        <w:t xml:space="preserve"> (tedy pro danou práci)</w:t>
      </w:r>
      <w:r w:rsidR="00CC51ED" w:rsidRPr="004D07DE">
        <w:rPr>
          <w:rFonts w:ascii="Arial" w:eastAsia="Arial" w:hAnsi="Arial" w:cs="Arial"/>
        </w:rPr>
        <w:t>.</w:t>
      </w:r>
      <w:r w:rsidR="004D017C" w:rsidRPr="004D07DE">
        <w:rPr>
          <w:rFonts w:ascii="Arial" w:eastAsia="Arial" w:hAnsi="Arial" w:cs="Arial"/>
        </w:rPr>
        <w:t xml:space="preserve"> Při kumulaci jednotlivých kombinací pracovních operací</w:t>
      </w:r>
      <w:r w:rsidR="007F2DF5" w:rsidRPr="004D07DE">
        <w:rPr>
          <w:rFonts w:ascii="Arial" w:eastAsia="Arial" w:hAnsi="Arial" w:cs="Arial"/>
        </w:rPr>
        <w:t xml:space="preserve">, tedy bylo nutné provádět měření u více variant pracovních operací </w:t>
      </w:r>
      <w:r w:rsidR="004D017C" w:rsidRPr="004D07DE">
        <w:rPr>
          <w:rFonts w:ascii="Arial" w:eastAsia="Arial" w:hAnsi="Arial" w:cs="Arial"/>
        </w:rPr>
        <w:t xml:space="preserve">lze </w:t>
      </w:r>
      <w:r w:rsidR="00CC51ED" w:rsidRPr="004D07DE">
        <w:rPr>
          <w:rFonts w:ascii="Arial" w:eastAsia="Arial" w:hAnsi="Arial" w:cs="Arial"/>
        </w:rPr>
        <w:t>očekávat výrazné snížení finančních v</w:t>
      </w:r>
      <w:r w:rsidR="004D017C" w:rsidRPr="004D07DE">
        <w:rPr>
          <w:rFonts w:ascii="Arial" w:eastAsia="Arial" w:hAnsi="Arial" w:cs="Arial"/>
        </w:rPr>
        <w:t>ý</w:t>
      </w:r>
      <w:r w:rsidR="00CC51ED" w:rsidRPr="004D07DE">
        <w:rPr>
          <w:rFonts w:ascii="Arial" w:eastAsia="Arial" w:hAnsi="Arial" w:cs="Arial"/>
        </w:rPr>
        <w:t>dajů podnikatelských subjektů</w:t>
      </w:r>
      <w:r w:rsidR="007F2DF5" w:rsidRPr="004D07DE">
        <w:rPr>
          <w:rFonts w:ascii="Arial" w:eastAsia="Arial" w:hAnsi="Arial" w:cs="Arial"/>
        </w:rPr>
        <w:t>, které již bude v řádu desetitisíců</w:t>
      </w:r>
      <w:r w:rsidR="00CC51ED" w:rsidRPr="004D07DE">
        <w:rPr>
          <w:rFonts w:ascii="Arial" w:eastAsia="Arial" w:hAnsi="Arial" w:cs="Arial"/>
        </w:rPr>
        <w:t xml:space="preserve">. </w:t>
      </w:r>
    </w:p>
    <w:p w:rsidR="00320FB4" w:rsidRPr="004D07DE" w:rsidRDefault="00CC51ED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  <w:color w:val="7030A0"/>
        </w:rPr>
      </w:pPr>
      <w:r w:rsidRPr="004D07DE">
        <w:rPr>
          <w:rFonts w:ascii="Arial" w:eastAsia="Arial" w:hAnsi="Arial" w:cs="Arial"/>
        </w:rPr>
        <w:t xml:space="preserve">V neposlední řadě </w:t>
      </w:r>
      <w:r w:rsidR="007F2DF5" w:rsidRPr="004D07DE">
        <w:rPr>
          <w:rFonts w:ascii="Arial" w:eastAsia="Arial" w:hAnsi="Arial" w:cs="Arial"/>
        </w:rPr>
        <w:t xml:space="preserve">předpokládáme, že </w:t>
      </w:r>
      <w:r w:rsidRPr="004D07DE">
        <w:rPr>
          <w:rFonts w:ascii="Arial" w:eastAsia="Arial" w:hAnsi="Arial" w:cs="Arial"/>
        </w:rPr>
        <w:t>n</w:t>
      </w:r>
      <w:r w:rsidR="00FC55E8" w:rsidRPr="004D07DE">
        <w:rPr>
          <w:rFonts w:ascii="Arial" w:eastAsia="Arial" w:hAnsi="Arial" w:cs="Arial"/>
        </w:rPr>
        <w:t xml:space="preserve">avrhované odborné hodnocení </w:t>
      </w:r>
      <w:r w:rsidR="00314994" w:rsidRPr="004D07DE">
        <w:rPr>
          <w:rFonts w:ascii="Arial" w:eastAsia="Arial" w:hAnsi="Arial" w:cs="Arial"/>
        </w:rPr>
        <w:t>bude lépe</w:t>
      </w:r>
      <w:r w:rsidR="004264AE" w:rsidRPr="004D07DE">
        <w:rPr>
          <w:rFonts w:ascii="Arial" w:eastAsia="Arial" w:hAnsi="Arial" w:cs="Arial"/>
        </w:rPr>
        <w:t xml:space="preserve"> reagovat na změny charakteru práce, jelikož </w:t>
      </w:r>
      <w:r w:rsidR="007F2DF5" w:rsidRPr="004D07DE">
        <w:rPr>
          <w:rFonts w:ascii="Arial" w:eastAsia="Arial" w:hAnsi="Arial" w:cs="Arial"/>
        </w:rPr>
        <w:t xml:space="preserve">bude </w:t>
      </w:r>
      <w:r w:rsidR="004264AE" w:rsidRPr="004D07DE">
        <w:rPr>
          <w:rFonts w:ascii="Arial" w:eastAsia="Arial" w:hAnsi="Arial" w:cs="Arial"/>
        </w:rPr>
        <w:t xml:space="preserve">pro podnikatelské subjekty méně finančně náročné.   </w:t>
      </w:r>
      <w:r w:rsidR="00FC55E8" w:rsidRPr="004D07DE">
        <w:rPr>
          <w:rFonts w:ascii="Arial" w:eastAsia="Arial" w:hAnsi="Arial" w:cs="Arial"/>
        </w:rPr>
        <w:t xml:space="preserve">   </w:t>
      </w:r>
    </w:p>
    <w:p w:rsidR="00F748FD" w:rsidRPr="004D07DE" w:rsidRDefault="00B2245C" w:rsidP="004D07DE">
      <w:pPr>
        <w:widowControl w:val="0"/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 xml:space="preserve">Návrh </w:t>
      </w:r>
      <w:r w:rsidR="00151081" w:rsidRPr="004D07DE">
        <w:rPr>
          <w:rFonts w:ascii="Arial" w:eastAsia="Arial" w:hAnsi="Arial" w:cs="Arial"/>
        </w:rPr>
        <w:t xml:space="preserve">nařízení vlády </w:t>
      </w:r>
      <w:r w:rsidRPr="004D07DE">
        <w:rPr>
          <w:rFonts w:ascii="Arial" w:eastAsia="Arial" w:hAnsi="Arial" w:cs="Arial"/>
        </w:rPr>
        <w:t>nebude mít n</w:t>
      </w:r>
      <w:r w:rsidR="00665D2A">
        <w:rPr>
          <w:rFonts w:ascii="Arial" w:eastAsia="Arial" w:hAnsi="Arial" w:cs="Arial"/>
        </w:rPr>
        <w:t>egativní dopad</w:t>
      </w:r>
      <w:r w:rsidRPr="004D07DE">
        <w:rPr>
          <w:rFonts w:ascii="Arial" w:eastAsia="Arial" w:hAnsi="Arial" w:cs="Arial"/>
        </w:rPr>
        <w:t xml:space="preserve"> na rodiny a specifické skupiny obyvatel, zejména sociálně slabé, osoby se zdravotním postižením a národnostní menšiny.</w:t>
      </w:r>
    </w:p>
    <w:p w:rsidR="00AA6346" w:rsidRPr="004D07DE" w:rsidRDefault="00AA6346" w:rsidP="004D07DE">
      <w:pPr>
        <w:widowControl w:val="0"/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F748FD" w:rsidRPr="004D07DE" w:rsidRDefault="00B2245C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 xml:space="preserve">Navrhovaná právní úprava </w:t>
      </w:r>
      <w:r w:rsidR="00483C09" w:rsidRPr="004D07DE">
        <w:rPr>
          <w:rFonts w:ascii="Arial" w:eastAsia="Arial" w:hAnsi="Arial" w:cs="Arial"/>
        </w:rPr>
        <w:t>pravděpodobně</w:t>
      </w:r>
      <w:r w:rsidR="00DF0535" w:rsidRPr="004D07DE">
        <w:rPr>
          <w:rFonts w:ascii="Arial" w:eastAsia="Arial" w:hAnsi="Arial" w:cs="Arial"/>
        </w:rPr>
        <w:t xml:space="preserve"> sekundárně pozitivní dopad </w:t>
      </w:r>
      <w:r w:rsidRPr="004D07DE">
        <w:rPr>
          <w:rFonts w:ascii="Arial" w:eastAsia="Arial" w:hAnsi="Arial" w:cs="Arial"/>
        </w:rPr>
        <w:t>na životní prostředí.</w:t>
      </w:r>
    </w:p>
    <w:p w:rsidR="00F748FD" w:rsidRPr="004D07DE" w:rsidRDefault="00F748FD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F748FD" w:rsidRPr="004D07DE" w:rsidRDefault="005C14AD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>7.</w:t>
      </w:r>
      <w:r w:rsidR="00B2245C" w:rsidRPr="004D07DE">
        <w:rPr>
          <w:rFonts w:ascii="Arial" w:eastAsia="Arial" w:hAnsi="Arial" w:cs="Arial"/>
          <w:b/>
        </w:rPr>
        <w:t xml:space="preserve"> Zhodnocení současného stavu a dopadů navrhovaného řešení ve vztahu k zákazu diskriminace a ve vztahu k rovnosti mužů a žen </w:t>
      </w:r>
    </w:p>
    <w:p w:rsidR="004A4848" w:rsidRPr="004D07DE" w:rsidRDefault="00B2245C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 xml:space="preserve">Navrhovaná úprava </w:t>
      </w:r>
      <w:r w:rsidR="00483C09" w:rsidRPr="004D07DE">
        <w:rPr>
          <w:rFonts w:ascii="Arial" w:eastAsia="Arial" w:hAnsi="Arial" w:cs="Arial"/>
        </w:rPr>
        <w:t>nebude</w:t>
      </w:r>
      <w:r w:rsidRPr="004D07DE">
        <w:rPr>
          <w:rFonts w:ascii="Arial" w:eastAsia="Arial" w:hAnsi="Arial" w:cs="Arial"/>
        </w:rPr>
        <w:t xml:space="preserve"> porušova</w:t>
      </w:r>
      <w:r w:rsidR="00483C09" w:rsidRPr="004D07DE">
        <w:rPr>
          <w:rFonts w:ascii="Arial" w:eastAsia="Arial" w:hAnsi="Arial" w:cs="Arial"/>
        </w:rPr>
        <w:t>t</w:t>
      </w:r>
      <w:r w:rsidRPr="004D07DE">
        <w:rPr>
          <w:rFonts w:ascii="Arial" w:eastAsia="Arial" w:hAnsi="Arial" w:cs="Arial"/>
        </w:rPr>
        <w:t xml:space="preserve"> nebo jinak </w:t>
      </w:r>
      <w:r w:rsidR="00483C09" w:rsidRPr="004D07DE">
        <w:rPr>
          <w:rFonts w:ascii="Arial" w:eastAsia="Arial" w:hAnsi="Arial" w:cs="Arial"/>
        </w:rPr>
        <w:t xml:space="preserve">se </w:t>
      </w:r>
      <w:r w:rsidRPr="004D07DE">
        <w:rPr>
          <w:rFonts w:ascii="Arial" w:eastAsia="Arial" w:hAnsi="Arial" w:cs="Arial"/>
        </w:rPr>
        <w:t>dotýka</w:t>
      </w:r>
      <w:r w:rsidR="00483C09" w:rsidRPr="004D07DE">
        <w:rPr>
          <w:rFonts w:ascii="Arial" w:eastAsia="Arial" w:hAnsi="Arial" w:cs="Arial"/>
        </w:rPr>
        <w:t>t zásad</w:t>
      </w:r>
      <w:r w:rsidRPr="004D07DE">
        <w:rPr>
          <w:rFonts w:ascii="Arial" w:eastAsia="Arial" w:hAnsi="Arial" w:cs="Arial"/>
        </w:rPr>
        <w:t xml:space="preserve"> zákazu diskriminace. Současně není úpravou, která by porušovala nebo se jinak </w:t>
      </w:r>
      <w:r w:rsidR="00A80A3D" w:rsidRPr="004D07DE">
        <w:rPr>
          <w:rFonts w:ascii="Arial" w:eastAsia="Arial" w:hAnsi="Arial" w:cs="Arial"/>
        </w:rPr>
        <w:t>dotýkala zásady rovnosti mužů a </w:t>
      </w:r>
      <w:r w:rsidRPr="004D07DE">
        <w:rPr>
          <w:rFonts w:ascii="Arial" w:eastAsia="Arial" w:hAnsi="Arial" w:cs="Arial"/>
        </w:rPr>
        <w:t>žen.</w:t>
      </w:r>
    </w:p>
    <w:p w:rsidR="00D705F6" w:rsidRPr="004D07DE" w:rsidRDefault="009A26F5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  <w:u w:val="single"/>
        </w:rPr>
      </w:pPr>
      <w:r w:rsidRPr="004D07DE">
        <w:rPr>
          <w:rFonts w:ascii="Arial" w:eastAsia="Arial" w:hAnsi="Arial" w:cs="Arial"/>
          <w:u w:val="single"/>
        </w:rPr>
        <w:t xml:space="preserve"> </w:t>
      </w:r>
    </w:p>
    <w:p w:rsidR="00F748FD" w:rsidRDefault="005C14AD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>8.</w:t>
      </w:r>
      <w:r w:rsidR="00B2245C" w:rsidRPr="004D07DE">
        <w:rPr>
          <w:rFonts w:ascii="Arial" w:eastAsia="Arial" w:hAnsi="Arial" w:cs="Arial"/>
          <w:b/>
        </w:rPr>
        <w:t xml:space="preserve"> Zhodnocení dopadů navrhovaného řešení ve vztahu k ochraně soukromí</w:t>
      </w:r>
      <w:r w:rsidR="0040160C" w:rsidRPr="004D07DE">
        <w:rPr>
          <w:rFonts w:ascii="Arial" w:eastAsia="Arial" w:hAnsi="Arial" w:cs="Arial"/>
          <w:b/>
        </w:rPr>
        <w:t xml:space="preserve"> a osobních údajů</w:t>
      </w:r>
    </w:p>
    <w:p w:rsidR="00845E8A" w:rsidRPr="004D07DE" w:rsidRDefault="00845E8A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  <w:b/>
        </w:rPr>
      </w:pPr>
    </w:p>
    <w:p w:rsidR="00E32068" w:rsidRPr="004D07DE" w:rsidRDefault="00E32068" w:rsidP="004D07DE">
      <w:pPr>
        <w:spacing w:line="240" w:lineRule="auto"/>
        <w:rPr>
          <w:rFonts w:ascii="Arial" w:eastAsia="Times New Roman" w:hAnsi="Arial" w:cs="Arial"/>
          <w:bCs/>
          <w:iCs/>
          <w:noProof/>
        </w:rPr>
      </w:pPr>
      <w:r w:rsidRPr="004D07DE">
        <w:rPr>
          <w:rFonts w:ascii="Arial" w:eastAsia="Times New Roman" w:hAnsi="Arial" w:cs="Arial"/>
          <w:bCs/>
          <w:iCs/>
          <w:noProof/>
        </w:rPr>
        <w:t xml:space="preserve">Navrhovaná právní úprava nebude mít dopady na ochranu soukromí a osobní údaje. </w:t>
      </w:r>
    </w:p>
    <w:p w:rsidR="00486448" w:rsidRPr="004D07DE" w:rsidRDefault="00486448" w:rsidP="004D07DE">
      <w:pPr>
        <w:spacing w:line="240" w:lineRule="auto"/>
        <w:jc w:val="both"/>
        <w:rPr>
          <w:rFonts w:ascii="Arial" w:hAnsi="Arial" w:cs="Arial"/>
        </w:rPr>
      </w:pPr>
      <w:r w:rsidRPr="004D07DE">
        <w:rPr>
          <w:rFonts w:ascii="Arial" w:eastAsia="Arial" w:hAnsi="Arial" w:cs="Arial"/>
        </w:rPr>
        <w:t>Navrhovaná právní úprava je v souladu se zásadami ochrany soukromí.</w:t>
      </w:r>
    </w:p>
    <w:p w:rsidR="003D4FAC" w:rsidRPr="004D07DE" w:rsidRDefault="003D4FAC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  <w:b/>
        </w:rPr>
      </w:pPr>
    </w:p>
    <w:p w:rsidR="00F748FD" w:rsidRDefault="005C14AD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>9.</w:t>
      </w:r>
      <w:r w:rsidR="00B2245C" w:rsidRPr="004D07DE">
        <w:rPr>
          <w:rFonts w:ascii="Arial" w:eastAsia="Arial" w:hAnsi="Arial" w:cs="Arial"/>
          <w:b/>
        </w:rPr>
        <w:t xml:space="preserve"> Zhodnocení korupčních rizik</w:t>
      </w:r>
    </w:p>
    <w:p w:rsidR="00845E8A" w:rsidRPr="004D07DE" w:rsidRDefault="00845E8A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  <w:b/>
        </w:rPr>
      </w:pPr>
    </w:p>
    <w:p w:rsidR="00E32068" w:rsidRPr="004D07DE" w:rsidRDefault="00E32068" w:rsidP="004D07DE">
      <w:pPr>
        <w:spacing w:line="240" w:lineRule="auto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 xml:space="preserve">Navrhovaná právní úprava nepřináší s sebou zvýšení korupčního rizika.   </w:t>
      </w:r>
    </w:p>
    <w:p w:rsidR="003D4FAC" w:rsidRPr="004D07DE" w:rsidRDefault="003D4FAC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  <w:b/>
        </w:rPr>
      </w:pPr>
    </w:p>
    <w:p w:rsidR="00F748FD" w:rsidRPr="004D07DE" w:rsidRDefault="005C14AD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>10.</w:t>
      </w:r>
      <w:r w:rsidR="00B2245C" w:rsidRPr="004D07DE">
        <w:rPr>
          <w:rFonts w:ascii="Arial" w:eastAsia="Arial" w:hAnsi="Arial" w:cs="Arial"/>
          <w:b/>
        </w:rPr>
        <w:t xml:space="preserve"> Zhodnocení dopadů na bezpečnost nebo obranu státu</w:t>
      </w:r>
    </w:p>
    <w:p w:rsidR="00F748FD" w:rsidRPr="004D07DE" w:rsidRDefault="00B2245C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  <w:u w:val="single"/>
        </w:rPr>
      </w:pPr>
      <w:r w:rsidRPr="004D07DE">
        <w:rPr>
          <w:rFonts w:ascii="Arial" w:eastAsia="Arial" w:hAnsi="Arial" w:cs="Arial"/>
        </w:rPr>
        <w:t>Navrhovaná úprava není úpravou, která má přímé nebo nepřímé dopady pro bezpečnost a obranu státu.</w:t>
      </w:r>
    </w:p>
    <w:p w:rsidR="00D705F6" w:rsidRPr="004D07DE" w:rsidRDefault="00D705F6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FD1344" w:rsidRPr="004D07DE" w:rsidRDefault="00FD1344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F748FD" w:rsidRPr="004D07DE" w:rsidRDefault="005C14AD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>B</w:t>
      </w:r>
      <w:r w:rsidR="00B2245C" w:rsidRPr="004D07DE">
        <w:rPr>
          <w:rFonts w:ascii="Arial" w:eastAsia="Arial" w:hAnsi="Arial" w:cs="Arial"/>
          <w:b/>
        </w:rPr>
        <w:t xml:space="preserve">. Zdůvodnění neprovedení hodnocení dopadů regulace (RIA) </w:t>
      </w:r>
    </w:p>
    <w:p w:rsidR="00DF6AE8" w:rsidRPr="004D07DE" w:rsidRDefault="00B2245C" w:rsidP="004D07DE">
      <w:pPr>
        <w:widowControl w:val="0"/>
        <w:suppressAutoHyphens/>
        <w:spacing w:before="120"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 xml:space="preserve">V souladu s Obecnými zásadami hodnocení dopadů regulace (RIA) a podle schváleného </w:t>
      </w:r>
      <w:r w:rsidR="005A1A71" w:rsidRPr="004D07DE">
        <w:rPr>
          <w:rFonts w:ascii="Arial" w:eastAsia="Arial" w:hAnsi="Arial" w:cs="Arial"/>
        </w:rPr>
        <w:t xml:space="preserve">legislativního plánu prací </w:t>
      </w:r>
      <w:r w:rsidRPr="004D07DE">
        <w:rPr>
          <w:rFonts w:ascii="Arial" w:eastAsia="Arial" w:hAnsi="Arial" w:cs="Arial"/>
        </w:rPr>
        <w:t>na rok 201</w:t>
      </w:r>
      <w:r w:rsidR="005A1A71" w:rsidRPr="004D07DE">
        <w:rPr>
          <w:rFonts w:ascii="Arial" w:eastAsia="Arial" w:hAnsi="Arial" w:cs="Arial"/>
        </w:rPr>
        <w:t>8</w:t>
      </w:r>
      <w:r w:rsidRPr="004D07DE">
        <w:rPr>
          <w:rFonts w:ascii="Arial" w:eastAsia="Arial" w:hAnsi="Arial" w:cs="Arial"/>
        </w:rPr>
        <w:t xml:space="preserve"> není nutné k návrhu </w:t>
      </w:r>
      <w:r w:rsidR="005A1A71" w:rsidRPr="004D07DE">
        <w:rPr>
          <w:rFonts w:ascii="Arial" w:eastAsia="Arial" w:hAnsi="Arial" w:cs="Arial"/>
        </w:rPr>
        <w:t xml:space="preserve">nařízení vlády </w:t>
      </w:r>
      <w:r w:rsidRPr="004D07DE">
        <w:rPr>
          <w:rFonts w:ascii="Arial" w:eastAsia="Arial" w:hAnsi="Arial" w:cs="Arial"/>
        </w:rPr>
        <w:t xml:space="preserve">zpracovávat RIA, neboť se v tomto případě jedná o provedení </w:t>
      </w:r>
      <w:r w:rsidR="00AC44FA">
        <w:rPr>
          <w:rFonts w:ascii="Arial" w:eastAsia="Arial" w:hAnsi="Arial" w:cs="Arial"/>
        </w:rPr>
        <w:t xml:space="preserve">transpozice směrnice Komise bez možnosti </w:t>
      </w:r>
      <w:r w:rsidR="00AC44FA">
        <w:rPr>
          <w:rFonts w:ascii="Arial" w:eastAsia="Arial" w:hAnsi="Arial" w:cs="Arial"/>
        </w:rPr>
        <w:lastRenderedPageBreak/>
        <w:t>variantního řešení i významných dopadů ve smyslu Obecných zásad.</w:t>
      </w:r>
    </w:p>
    <w:p w:rsidR="000F5675" w:rsidRPr="004D07DE" w:rsidRDefault="000F5675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F748FD" w:rsidRPr="004D07DE" w:rsidRDefault="005C14AD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>C</w:t>
      </w:r>
      <w:r w:rsidR="00B2245C" w:rsidRPr="004D07DE">
        <w:rPr>
          <w:rFonts w:ascii="Arial" w:eastAsia="Arial" w:hAnsi="Arial" w:cs="Arial"/>
          <w:b/>
        </w:rPr>
        <w:t>. Zvláštní část</w:t>
      </w:r>
    </w:p>
    <w:p w:rsidR="004A1E41" w:rsidRPr="004D07DE" w:rsidRDefault="004A1E41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  <w:color w:val="00000A"/>
          <w:u w:val="single"/>
        </w:rPr>
      </w:pPr>
    </w:p>
    <w:p w:rsidR="004A1E41" w:rsidRPr="004D07DE" w:rsidRDefault="004A1E41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 xml:space="preserve">Novelizační bod </w:t>
      </w:r>
      <w:r w:rsidR="0021075E" w:rsidRPr="004D07DE">
        <w:rPr>
          <w:rFonts w:ascii="Arial" w:eastAsia="Arial" w:hAnsi="Arial" w:cs="Arial"/>
          <w:b/>
        </w:rPr>
        <w:t xml:space="preserve">č. </w:t>
      </w:r>
      <w:r w:rsidRPr="004D07DE">
        <w:rPr>
          <w:rFonts w:ascii="Arial" w:eastAsia="Arial" w:hAnsi="Arial" w:cs="Arial"/>
          <w:b/>
        </w:rPr>
        <w:t>1</w:t>
      </w:r>
    </w:p>
    <w:p w:rsidR="0021075E" w:rsidRPr="004D07DE" w:rsidRDefault="0021075E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>Do seznamu směrnic, které nařízení vlády zapracovává</w:t>
      </w:r>
      <w:r w:rsidR="009B3AA4">
        <w:rPr>
          <w:rFonts w:ascii="Arial" w:eastAsia="Arial" w:hAnsi="Arial" w:cs="Arial"/>
        </w:rPr>
        <w:t>,</w:t>
      </w:r>
      <w:r w:rsidRPr="004D07DE">
        <w:rPr>
          <w:rFonts w:ascii="Arial" w:eastAsia="Arial" w:hAnsi="Arial" w:cs="Arial"/>
        </w:rPr>
        <w:t xml:space="preserve"> je nutné v souladu s transpozicí směrnice Komise (EU) 2017/164 ji zapracovat do poznámky pod čarou. </w:t>
      </w:r>
    </w:p>
    <w:p w:rsidR="00AA1ADF" w:rsidRPr="004D07DE" w:rsidRDefault="00AA1ADF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</w:p>
    <w:p w:rsidR="00AA1ADF" w:rsidRPr="004D07DE" w:rsidRDefault="00AA1ADF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 xml:space="preserve">Novelizační bod </w:t>
      </w:r>
      <w:r w:rsidR="0021075E" w:rsidRPr="004D07DE">
        <w:rPr>
          <w:rFonts w:ascii="Arial" w:eastAsia="Arial" w:hAnsi="Arial" w:cs="Arial"/>
          <w:b/>
        </w:rPr>
        <w:t xml:space="preserve">č. </w:t>
      </w:r>
      <w:r w:rsidRPr="004D07DE">
        <w:rPr>
          <w:rFonts w:ascii="Arial" w:eastAsia="Arial" w:hAnsi="Arial" w:cs="Arial"/>
          <w:b/>
        </w:rPr>
        <w:t>2</w:t>
      </w:r>
    </w:p>
    <w:p w:rsidR="0021075E" w:rsidRPr="004D07DE" w:rsidRDefault="0021075E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>Úprava ustanovení § 9 odst. 1 nařízení vlády reflektuje na</w:t>
      </w:r>
      <w:r w:rsidR="00A80A3D" w:rsidRPr="004D07DE">
        <w:rPr>
          <w:rFonts w:ascii="Arial" w:eastAsia="Arial" w:hAnsi="Arial" w:cs="Arial"/>
        </w:rPr>
        <w:t xml:space="preserve"> změnu chemického zákona, resp. </w:t>
      </w:r>
      <w:r w:rsidRPr="004D07DE">
        <w:rPr>
          <w:rFonts w:ascii="Arial" w:eastAsia="Arial" w:hAnsi="Arial" w:cs="Arial"/>
        </w:rPr>
        <w:t xml:space="preserve">zákona č. 365/2003 Sb., o chemických látkách a chemických přípravcích a o změně některých zákonů, ve znění pozdějších předpisů, který již jednotlivé expoziční limity neobsahuje. </w:t>
      </w:r>
    </w:p>
    <w:p w:rsidR="0021075E" w:rsidRPr="004D07DE" w:rsidRDefault="0021075E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845E8A" w:rsidRDefault="00845E8A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</w:p>
    <w:p w:rsidR="0021075E" w:rsidRPr="004D07DE" w:rsidRDefault="0021075E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>Novelizační bod č. 3</w:t>
      </w:r>
    </w:p>
    <w:p w:rsidR="00A07578" w:rsidRPr="004D07DE" w:rsidRDefault="00A07578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>Úprava ust</w:t>
      </w:r>
      <w:r w:rsidR="00EF3CC4">
        <w:rPr>
          <w:rFonts w:ascii="Arial" w:eastAsia="Arial" w:hAnsi="Arial" w:cs="Arial"/>
        </w:rPr>
        <w:t>anovení § 9 odst. 4 reaguje na S</w:t>
      </w:r>
      <w:r w:rsidRPr="004D07DE">
        <w:rPr>
          <w:rFonts w:ascii="Arial" w:eastAsia="Arial" w:hAnsi="Arial" w:cs="Arial"/>
        </w:rPr>
        <w:t>měrnici Komise 2017/164 pro dobu, po kterou jsou jednotlivé expoziční limity stanovený. Hygienický li</w:t>
      </w:r>
      <w:r w:rsidR="00A80A3D" w:rsidRPr="004D07DE">
        <w:rPr>
          <w:rFonts w:ascii="Arial" w:eastAsia="Arial" w:hAnsi="Arial" w:cs="Arial"/>
        </w:rPr>
        <w:t>mit stanovený přílohou č. 2 pro </w:t>
      </w:r>
      <w:r w:rsidRPr="004D07DE">
        <w:rPr>
          <w:rFonts w:ascii="Arial" w:eastAsia="Arial" w:hAnsi="Arial" w:cs="Arial"/>
        </w:rPr>
        <w:t>kyselinu akrylovou je nově nastaven v souladu se směrn</w:t>
      </w:r>
      <w:r w:rsidR="00A80A3D" w:rsidRPr="004D07DE">
        <w:rPr>
          <w:rFonts w:ascii="Arial" w:eastAsia="Arial" w:hAnsi="Arial" w:cs="Arial"/>
        </w:rPr>
        <w:t>icí 2017/164 po dobu expozice 1 </w:t>
      </w:r>
      <w:r w:rsidRPr="004D07DE">
        <w:rPr>
          <w:rFonts w:ascii="Arial" w:eastAsia="Arial" w:hAnsi="Arial" w:cs="Arial"/>
        </w:rPr>
        <w:t>minuta.</w:t>
      </w:r>
    </w:p>
    <w:p w:rsidR="00A07578" w:rsidRPr="004D07DE" w:rsidRDefault="00A07578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A07578" w:rsidRPr="004D07DE" w:rsidRDefault="00A07578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 xml:space="preserve">Novelizační bod č. 4 </w:t>
      </w:r>
    </w:p>
    <w:p w:rsidR="001750BE" w:rsidRPr="004D07DE" w:rsidRDefault="000821C8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>Ustanovení § 9 odst. 9 reaguje na podmínky met</w:t>
      </w:r>
      <w:r w:rsidR="001750BE" w:rsidRPr="004D07DE">
        <w:rPr>
          <w:rFonts w:ascii="Arial" w:eastAsia="Arial" w:hAnsi="Arial" w:cs="Arial"/>
        </w:rPr>
        <w:t>odologie, za kterých je možné provést objektivní vyhodnocení expozice chemickým látkám. Dále d</w:t>
      </w:r>
      <w:r w:rsidR="00EF3CC4">
        <w:rPr>
          <w:rFonts w:ascii="Arial" w:eastAsia="Arial" w:hAnsi="Arial" w:cs="Arial"/>
        </w:rPr>
        <w:t>oplňujte definici jednotlivých p</w:t>
      </w:r>
      <w:r w:rsidR="001750BE" w:rsidRPr="004D07DE">
        <w:rPr>
          <w:rFonts w:ascii="Arial" w:eastAsia="Arial" w:hAnsi="Arial" w:cs="Arial"/>
        </w:rPr>
        <w:t xml:space="preserve">ojmů, které jsou nařízením a metodologií užívány. </w:t>
      </w:r>
    </w:p>
    <w:p w:rsidR="00A07578" w:rsidRPr="004D07DE" w:rsidRDefault="000821C8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 xml:space="preserve"> </w:t>
      </w:r>
      <w:r w:rsidR="00FC3A8B" w:rsidRPr="004D07DE">
        <w:rPr>
          <w:rFonts w:ascii="Arial" w:eastAsia="Arial" w:hAnsi="Arial" w:cs="Arial"/>
        </w:rPr>
        <w:t>V souladu se směrnicí Komise 2017/164 došlo k ustanovení hygienick</w:t>
      </w:r>
      <w:r w:rsidR="00DA46BE" w:rsidRPr="004D07DE">
        <w:rPr>
          <w:rFonts w:ascii="Arial" w:eastAsia="Arial" w:hAnsi="Arial" w:cs="Arial"/>
        </w:rPr>
        <w:t>ých</w:t>
      </w:r>
      <w:r w:rsidR="00FC3A8B" w:rsidRPr="004D07DE">
        <w:rPr>
          <w:rFonts w:ascii="Arial" w:eastAsia="Arial" w:hAnsi="Arial" w:cs="Arial"/>
        </w:rPr>
        <w:t xml:space="preserve"> limit</w:t>
      </w:r>
      <w:r w:rsidR="00DA46BE" w:rsidRPr="004D07DE">
        <w:rPr>
          <w:rFonts w:ascii="Arial" w:eastAsia="Arial" w:hAnsi="Arial" w:cs="Arial"/>
        </w:rPr>
        <w:t>ů</w:t>
      </w:r>
      <w:r w:rsidR="00FC3A8B" w:rsidRPr="004D07DE">
        <w:rPr>
          <w:rFonts w:ascii="Arial" w:eastAsia="Arial" w:hAnsi="Arial" w:cs="Arial"/>
        </w:rPr>
        <w:t xml:space="preserve">, způsob jejich zjišťování a hodnocení k ukotvení definic pro klasifikaci limitních </w:t>
      </w:r>
      <w:r w:rsidR="00A80A3D" w:rsidRPr="004D07DE">
        <w:rPr>
          <w:rFonts w:ascii="Arial" w:eastAsia="Arial" w:hAnsi="Arial" w:cs="Arial"/>
        </w:rPr>
        <w:t>hodnot pro plyny a </w:t>
      </w:r>
      <w:r w:rsidR="00FC3A8B" w:rsidRPr="004D07DE">
        <w:rPr>
          <w:rFonts w:ascii="Arial" w:eastAsia="Arial" w:hAnsi="Arial" w:cs="Arial"/>
        </w:rPr>
        <w:t>páry.</w:t>
      </w:r>
    </w:p>
    <w:p w:rsidR="00FC3A8B" w:rsidRPr="004D07DE" w:rsidRDefault="00FC3A8B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D249D6" w:rsidRPr="004D07DE" w:rsidRDefault="001750BE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>Novelizační bod č. 5</w:t>
      </w:r>
    </w:p>
    <w:p w:rsidR="00D249D6" w:rsidRPr="004D07DE" w:rsidRDefault="00D249D6" w:rsidP="004D07DE">
      <w:pPr>
        <w:spacing w:line="240" w:lineRule="auto"/>
        <w:jc w:val="both"/>
        <w:rPr>
          <w:rFonts w:ascii="Arial" w:hAnsi="Arial" w:cs="Arial"/>
        </w:rPr>
      </w:pPr>
      <w:r w:rsidRPr="004D07DE">
        <w:rPr>
          <w:rFonts w:ascii="Arial" w:hAnsi="Arial" w:cs="Arial"/>
        </w:rPr>
        <w:t>Lokální svalová zátěž je jeden z nejčetnějších rizikových faktorů pracovních podmínek. Podle § 38 zákona o ochraně veřejného zdraví ve spojení s přílohou č. 5 nařízení vlády č.</w:t>
      </w:r>
      <w:r w:rsidR="0072055D">
        <w:rPr>
          <w:rFonts w:ascii="Arial" w:hAnsi="Arial" w:cs="Arial"/>
        </w:rPr>
        <w:t> </w:t>
      </w:r>
      <w:r w:rsidRPr="004D07DE">
        <w:rPr>
          <w:rFonts w:ascii="Arial" w:hAnsi="Arial" w:cs="Arial"/>
        </w:rPr>
        <w:t>361/2007 Sb. pro účely zařazení prací i do druhé kategorie musí být provedeno měření tohoto faktoru, a to akreditovanou nebo autorizovanou osobou. Problémem měření lokální svalová zátěž je velká různorodost prací a jejich častá změna. V souvislosti s tím je měření lokální svalové zátěže nejen finančně náročné, ale v termínech stanovených § 37 zákona o</w:t>
      </w:r>
      <w:r w:rsidR="0072055D">
        <w:rPr>
          <w:rFonts w:ascii="Arial" w:hAnsi="Arial" w:cs="Arial"/>
        </w:rPr>
        <w:t> </w:t>
      </w:r>
      <w:r w:rsidRPr="004D07DE">
        <w:rPr>
          <w:rFonts w:ascii="Arial" w:hAnsi="Arial" w:cs="Arial"/>
        </w:rPr>
        <w:t>ochraně veřejného zdraví, tj. do 30 dnů ode dne zahájení výkonu práce nebo změny jejich podmínek i obtížně proveditelné. V praxi se osvědčil odborný odhad provedený osobou autorizovanou nebo akreditovanou. Ten však nelze použít, má-li jít o práce rizikové, nebo práce, při jejichž výkonu se vyskytly nemoci z povolání nebo ohrožení nemocí z povolání.  Navrhuje se proto upravit § 25 s tím, že navržený postup se nebude týkat ostatních postupů zaměstnavatele, např. při zjišťování úrovně rizikového faktoru podle § 102 odst. 3 zákoníku práce.</w:t>
      </w:r>
    </w:p>
    <w:p w:rsidR="00D249D6" w:rsidRPr="004D07DE" w:rsidRDefault="00D249D6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FC3A8B" w:rsidRPr="004D07DE" w:rsidRDefault="00FC3A8B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 xml:space="preserve">Novelizační bod č. </w:t>
      </w:r>
      <w:r w:rsidR="00720F2C" w:rsidRPr="004D07DE">
        <w:rPr>
          <w:rFonts w:ascii="Arial" w:eastAsia="Arial" w:hAnsi="Arial" w:cs="Arial"/>
          <w:b/>
        </w:rPr>
        <w:t>6</w:t>
      </w:r>
    </w:p>
    <w:p w:rsidR="005E31D0" w:rsidRPr="004D07DE" w:rsidRDefault="00FC3A8B" w:rsidP="004D07D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>Příloha č. 2</w:t>
      </w:r>
      <w:r w:rsidR="00720F2C" w:rsidRPr="004D07DE">
        <w:rPr>
          <w:rFonts w:ascii="Arial" w:eastAsia="Arial" w:hAnsi="Arial" w:cs="Arial"/>
        </w:rPr>
        <w:t>,</w:t>
      </w:r>
      <w:r w:rsidR="00381AB5" w:rsidRPr="004D07DE">
        <w:rPr>
          <w:rFonts w:ascii="Arial" w:eastAsia="Arial" w:hAnsi="Arial" w:cs="Arial"/>
        </w:rPr>
        <w:t xml:space="preserve"> část </w:t>
      </w:r>
      <w:r w:rsidR="00720F2C" w:rsidRPr="004D07DE">
        <w:rPr>
          <w:rFonts w:ascii="Arial" w:eastAsia="Arial" w:hAnsi="Arial" w:cs="Arial"/>
        </w:rPr>
        <w:t>A</w:t>
      </w:r>
      <w:r w:rsidRPr="004D07DE">
        <w:rPr>
          <w:rFonts w:ascii="Arial" w:eastAsia="Arial" w:hAnsi="Arial" w:cs="Arial"/>
        </w:rPr>
        <w:t xml:space="preserve"> </w:t>
      </w:r>
      <w:r w:rsidR="005E31D0" w:rsidRPr="004D07DE">
        <w:rPr>
          <w:rFonts w:ascii="Arial" w:eastAsia="Arial" w:hAnsi="Arial" w:cs="Arial"/>
        </w:rPr>
        <w:t>nově obsahuje:</w:t>
      </w:r>
    </w:p>
    <w:p w:rsidR="005E31D0" w:rsidRPr="004D07DE" w:rsidRDefault="005E31D0" w:rsidP="004D07DE">
      <w:pPr>
        <w:pStyle w:val="odstavec1"/>
        <w:spacing w:before="0"/>
        <w:ind w:firstLine="0"/>
        <w:rPr>
          <w:rFonts w:ascii="Arial" w:eastAsia="MS Gothic" w:hAnsi="Arial" w:cs="Arial"/>
          <w:b/>
          <w:bCs/>
          <w:noProof/>
          <w:sz w:val="22"/>
          <w:szCs w:val="22"/>
        </w:rPr>
      </w:pPr>
      <w:r w:rsidRPr="004D07DE">
        <w:rPr>
          <w:rFonts w:ascii="Arial" w:eastAsia="MS Gothic" w:hAnsi="Arial" w:cs="Arial"/>
          <w:b/>
          <w:bCs/>
          <w:noProof/>
          <w:sz w:val="22"/>
          <w:szCs w:val="22"/>
        </w:rPr>
        <w:t>A) Nově zavedené limitní hodnoty</w:t>
      </w:r>
    </w:p>
    <w:p w:rsidR="005E31D0" w:rsidRPr="004D07DE" w:rsidRDefault="005E31D0" w:rsidP="004D07DE">
      <w:pPr>
        <w:pStyle w:val="odstavec1"/>
        <w:spacing w:before="0"/>
        <w:ind w:firstLine="0"/>
        <w:rPr>
          <w:rFonts w:ascii="Arial" w:eastAsia="Arial" w:hAnsi="Arial" w:cs="Arial"/>
          <w:sz w:val="22"/>
          <w:szCs w:val="22"/>
        </w:rPr>
      </w:pPr>
      <w:proofErr w:type="spellStart"/>
      <w:r w:rsidRPr="004D07DE">
        <w:rPr>
          <w:rFonts w:ascii="Arial" w:eastAsia="Arial" w:hAnsi="Arial" w:cs="Arial"/>
          <w:sz w:val="22"/>
          <w:szCs w:val="22"/>
        </w:rPr>
        <w:t>terfenyl</w:t>
      </w:r>
      <w:proofErr w:type="spellEnd"/>
      <w:r w:rsidRPr="004D07DE">
        <w:rPr>
          <w:rFonts w:ascii="Arial" w:eastAsia="Arial" w:hAnsi="Arial" w:cs="Arial"/>
          <w:sz w:val="22"/>
          <w:szCs w:val="22"/>
        </w:rPr>
        <w:t xml:space="preserve">, hydrogenovaný, </w:t>
      </w:r>
      <w:proofErr w:type="spellStart"/>
      <w:r w:rsidRPr="004D07DE">
        <w:rPr>
          <w:rFonts w:ascii="Arial" w:eastAsia="Arial" w:hAnsi="Arial" w:cs="Arial"/>
          <w:sz w:val="22"/>
          <w:szCs w:val="22"/>
        </w:rPr>
        <w:t>nitroethan</w:t>
      </w:r>
      <w:proofErr w:type="spellEnd"/>
      <w:r w:rsidRPr="004D07D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D07DE">
        <w:rPr>
          <w:rFonts w:ascii="Arial" w:eastAsia="Arial" w:hAnsi="Arial" w:cs="Arial"/>
          <w:sz w:val="22"/>
          <w:szCs w:val="22"/>
        </w:rPr>
        <w:t>methylformiát</w:t>
      </w:r>
      <w:proofErr w:type="spellEnd"/>
      <w:r w:rsidRPr="004D07DE">
        <w:rPr>
          <w:rFonts w:ascii="Arial" w:eastAsia="Arial" w:hAnsi="Arial" w:cs="Arial"/>
          <w:sz w:val="22"/>
          <w:szCs w:val="22"/>
        </w:rPr>
        <w:t>, kyselina akrylová, kyanid draselný, jako </w:t>
      </w:r>
      <w:proofErr w:type="gramStart"/>
      <w:r w:rsidRPr="004D07DE">
        <w:rPr>
          <w:rFonts w:ascii="Arial" w:eastAsia="Arial" w:hAnsi="Arial" w:cs="Arial"/>
          <w:sz w:val="22"/>
          <w:szCs w:val="22"/>
        </w:rPr>
        <w:t>CN, 2-</w:t>
      </w:r>
      <w:r w:rsidR="00453B32" w:rsidRPr="004D07DE">
        <w:rPr>
          <w:rFonts w:ascii="Arial" w:eastAsia="Arial" w:hAnsi="Arial" w:cs="Arial"/>
          <w:sz w:val="22"/>
          <w:szCs w:val="22"/>
        </w:rPr>
        <w:t>e</w:t>
      </w:r>
      <w:r w:rsidRPr="004D07DE">
        <w:rPr>
          <w:rFonts w:ascii="Arial" w:eastAsia="Arial" w:hAnsi="Arial" w:cs="Arial"/>
          <w:sz w:val="22"/>
          <w:szCs w:val="22"/>
        </w:rPr>
        <w:t>thylhexanol</w:t>
      </w:r>
      <w:proofErr w:type="gramEnd"/>
      <w:r w:rsidRPr="004D07DE">
        <w:rPr>
          <w:rFonts w:ascii="Arial" w:eastAsia="Arial" w:hAnsi="Arial" w:cs="Arial"/>
          <w:sz w:val="22"/>
          <w:szCs w:val="22"/>
        </w:rPr>
        <w:t xml:space="preserve">, </w:t>
      </w:r>
      <w:r w:rsidR="00453B32" w:rsidRPr="004D07DE">
        <w:rPr>
          <w:rFonts w:ascii="Arial" w:eastAsia="Arial" w:hAnsi="Arial" w:cs="Arial"/>
          <w:sz w:val="22"/>
          <w:szCs w:val="22"/>
        </w:rPr>
        <w:t>b</w:t>
      </w:r>
      <w:r w:rsidRPr="004D07DE">
        <w:rPr>
          <w:rFonts w:ascii="Arial" w:eastAsia="Arial" w:hAnsi="Arial" w:cs="Arial"/>
          <w:sz w:val="22"/>
          <w:szCs w:val="22"/>
        </w:rPr>
        <w:t xml:space="preserve">ut-2-yn-1,4-diol, </w:t>
      </w:r>
      <w:proofErr w:type="spellStart"/>
      <w:r w:rsidRPr="004D07DE">
        <w:rPr>
          <w:rFonts w:ascii="Arial" w:eastAsia="Arial" w:hAnsi="Arial" w:cs="Arial"/>
          <w:sz w:val="22"/>
          <w:szCs w:val="22"/>
        </w:rPr>
        <w:t>butandion</w:t>
      </w:r>
      <w:proofErr w:type="spellEnd"/>
      <w:r w:rsidRPr="004D07D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D07DE">
        <w:rPr>
          <w:rFonts w:ascii="Arial" w:eastAsia="Arial" w:hAnsi="Arial" w:cs="Arial"/>
          <w:sz w:val="22"/>
          <w:szCs w:val="22"/>
        </w:rPr>
        <w:t>amitrol</w:t>
      </w:r>
      <w:proofErr w:type="spellEnd"/>
    </w:p>
    <w:p w:rsidR="005E31D0" w:rsidRPr="004D07DE" w:rsidRDefault="005E31D0" w:rsidP="004D07DE">
      <w:pPr>
        <w:pStyle w:val="odstavec1"/>
        <w:spacing w:before="0"/>
        <w:ind w:firstLine="0"/>
        <w:rPr>
          <w:rFonts w:ascii="Arial" w:eastAsia="MS Gothic" w:hAnsi="Arial" w:cs="Arial"/>
          <w:b/>
          <w:bCs/>
          <w:noProof/>
          <w:sz w:val="22"/>
          <w:szCs w:val="22"/>
        </w:rPr>
      </w:pPr>
    </w:p>
    <w:p w:rsidR="005E31D0" w:rsidRPr="004D07DE" w:rsidRDefault="005E31D0" w:rsidP="004D07DE">
      <w:pPr>
        <w:pStyle w:val="odstavec1"/>
        <w:spacing w:before="0"/>
        <w:ind w:firstLine="0"/>
        <w:rPr>
          <w:rFonts w:ascii="Arial" w:eastAsia="MS Gothic" w:hAnsi="Arial" w:cs="Arial"/>
          <w:b/>
          <w:bCs/>
          <w:noProof/>
          <w:sz w:val="22"/>
          <w:szCs w:val="22"/>
        </w:rPr>
      </w:pPr>
      <w:r w:rsidRPr="004D07DE">
        <w:rPr>
          <w:rFonts w:ascii="Arial" w:eastAsia="MS Gothic" w:hAnsi="Arial" w:cs="Arial"/>
          <w:b/>
          <w:bCs/>
          <w:noProof/>
          <w:sz w:val="22"/>
          <w:szCs w:val="22"/>
        </w:rPr>
        <w:t>B) Upravená limitní hodnota v souladu se směrnicí</w:t>
      </w:r>
    </w:p>
    <w:p w:rsidR="005E31D0" w:rsidRPr="004D07DE" w:rsidRDefault="005E31D0" w:rsidP="004D07DE">
      <w:pPr>
        <w:pStyle w:val="odstavec1"/>
        <w:spacing w:before="0"/>
        <w:ind w:firstLine="0"/>
        <w:rPr>
          <w:rFonts w:ascii="Arial" w:eastAsia="MS Gothic" w:hAnsi="Arial" w:cs="Arial"/>
          <w:b/>
          <w:bCs/>
          <w:noProof/>
          <w:sz w:val="22"/>
          <w:szCs w:val="22"/>
        </w:rPr>
      </w:pPr>
      <w:proofErr w:type="spellStart"/>
      <w:r w:rsidRPr="004D07DE">
        <w:rPr>
          <w:rFonts w:ascii="Arial" w:eastAsia="Arial" w:hAnsi="Arial" w:cs="Arial"/>
          <w:sz w:val="22"/>
          <w:szCs w:val="22"/>
        </w:rPr>
        <w:t>tetrachlorethen</w:t>
      </w:r>
      <w:proofErr w:type="spellEnd"/>
      <w:r w:rsidRPr="004D07DE">
        <w:rPr>
          <w:rFonts w:ascii="Arial" w:eastAsia="Arial" w:hAnsi="Arial" w:cs="Arial"/>
          <w:sz w:val="22"/>
          <w:szCs w:val="22"/>
        </w:rPr>
        <w:t xml:space="preserve">, oxid </w:t>
      </w:r>
      <w:proofErr w:type="gramStart"/>
      <w:r w:rsidRPr="004D07DE">
        <w:rPr>
          <w:rFonts w:ascii="Arial" w:eastAsia="Arial" w:hAnsi="Arial" w:cs="Arial"/>
          <w:sz w:val="22"/>
          <w:szCs w:val="22"/>
        </w:rPr>
        <w:t>vápenatý, 2-</w:t>
      </w:r>
      <w:r w:rsidR="00453B32" w:rsidRPr="004D07DE">
        <w:rPr>
          <w:rFonts w:ascii="Arial" w:eastAsia="Arial" w:hAnsi="Arial" w:cs="Arial"/>
          <w:sz w:val="22"/>
          <w:szCs w:val="22"/>
        </w:rPr>
        <w:t>p</w:t>
      </w:r>
      <w:r w:rsidRPr="004D07DE">
        <w:rPr>
          <w:rFonts w:ascii="Arial" w:eastAsia="Arial" w:hAnsi="Arial" w:cs="Arial"/>
          <w:sz w:val="22"/>
          <w:szCs w:val="22"/>
        </w:rPr>
        <w:t>ropenal</w:t>
      </w:r>
      <w:proofErr w:type="gramEnd"/>
      <w:r w:rsidRPr="004D07DE">
        <w:rPr>
          <w:rFonts w:ascii="Arial" w:eastAsia="Arial" w:hAnsi="Arial" w:cs="Arial"/>
          <w:sz w:val="22"/>
          <w:szCs w:val="22"/>
        </w:rPr>
        <w:t>, oxid uhelnatý, oxid dusnatý, oxid dusičitý, mangan a jeho anorganické sloučeniny, jako </w:t>
      </w:r>
      <w:proofErr w:type="spellStart"/>
      <w:r w:rsidRPr="004D07DE">
        <w:rPr>
          <w:rFonts w:ascii="Arial" w:eastAsia="Arial" w:hAnsi="Arial" w:cs="Arial"/>
          <w:sz w:val="22"/>
          <w:szCs w:val="22"/>
        </w:rPr>
        <w:t>Mn</w:t>
      </w:r>
      <w:proofErr w:type="spellEnd"/>
      <w:r w:rsidRPr="004D07DE">
        <w:rPr>
          <w:rFonts w:ascii="Arial" w:eastAsia="Arial" w:hAnsi="Arial" w:cs="Arial"/>
          <w:sz w:val="22"/>
          <w:szCs w:val="22"/>
        </w:rPr>
        <w:t xml:space="preserve">, kyanovodík, kyanid sodný, jako CN, hydroxid vápenatý, hydrid lithný, </w:t>
      </w:r>
      <w:proofErr w:type="spellStart"/>
      <w:r w:rsidRPr="004D07DE">
        <w:rPr>
          <w:rFonts w:ascii="Arial" w:eastAsia="Arial" w:hAnsi="Arial" w:cs="Arial"/>
          <w:sz w:val="22"/>
          <w:szCs w:val="22"/>
        </w:rPr>
        <w:t>g</w:t>
      </w:r>
      <w:r w:rsidR="00453B32" w:rsidRPr="004D07DE">
        <w:rPr>
          <w:rFonts w:ascii="Arial" w:eastAsia="Arial" w:hAnsi="Arial" w:cs="Arial"/>
          <w:sz w:val="22"/>
          <w:szCs w:val="22"/>
        </w:rPr>
        <w:t>lyceroltrinitrát</w:t>
      </w:r>
      <w:proofErr w:type="spellEnd"/>
      <w:r w:rsidR="00453B32" w:rsidRPr="004D07DE">
        <w:rPr>
          <w:rFonts w:ascii="Arial" w:eastAsia="Arial" w:hAnsi="Arial" w:cs="Arial"/>
          <w:sz w:val="22"/>
          <w:szCs w:val="22"/>
        </w:rPr>
        <w:t>, 1,4-d</w:t>
      </w:r>
      <w:r w:rsidRPr="004D07DE">
        <w:rPr>
          <w:rFonts w:ascii="Arial" w:eastAsia="Arial" w:hAnsi="Arial" w:cs="Arial"/>
          <w:sz w:val="22"/>
          <w:szCs w:val="22"/>
        </w:rPr>
        <w:t>ichlorbenzen</w:t>
      </w:r>
    </w:p>
    <w:p w:rsidR="005E31D0" w:rsidRPr="004D07DE" w:rsidRDefault="005E31D0" w:rsidP="004D07DE">
      <w:pPr>
        <w:pStyle w:val="odstavec1"/>
        <w:spacing w:before="0"/>
        <w:ind w:firstLine="0"/>
        <w:rPr>
          <w:rFonts w:ascii="Arial" w:eastAsia="MS Gothic" w:hAnsi="Arial" w:cs="Arial"/>
          <w:b/>
          <w:bCs/>
          <w:noProof/>
          <w:sz w:val="22"/>
          <w:szCs w:val="22"/>
        </w:rPr>
      </w:pPr>
    </w:p>
    <w:p w:rsidR="005E31D0" w:rsidRPr="004D07DE" w:rsidRDefault="005E31D0" w:rsidP="004D07DE">
      <w:pPr>
        <w:pStyle w:val="odstavec1"/>
        <w:spacing w:before="0"/>
        <w:ind w:firstLine="0"/>
        <w:rPr>
          <w:rFonts w:ascii="Arial" w:eastAsia="MS Gothic" w:hAnsi="Arial" w:cs="Arial"/>
          <w:b/>
          <w:bCs/>
          <w:noProof/>
          <w:sz w:val="22"/>
          <w:szCs w:val="22"/>
        </w:rPr>
      </w:pPr>
      <w:r w:rsidRPr="004D07DE">
        <w:rPr>
          <w:rFonts w:ascii="Arial" w:eastAsia="MS Gothic" w:hAnsi="Arial" w:cs="Arial"/>
          <w:b/>
          <w:bCs/>
          <w:noProof/>
          <w:sz w:val="22"/>
          <w:szCs w:val="22"/>
        </w:rPr>
        <w:t xml:space="preserve">C) Chemické látky, které nebudou směrnicí dotčeny a bude zachována národní úprava  </w:t>
      </w:r>
    </w:p>
    <w:p w:rsidR="005E31D0" w:rsidRPr="004D07DE" w:rsidRDefault="005E31D0" w:rsidP="004D07DE">
      <w:pPr>
        <w:pStyle w:val="odstavec1"/>
        <w:spacing w:before="0"/>
        <w:ind w:firstLine="0"/>
        <w:rPr>
          <w:rFonts w:ascii="Arial" w:eastAsia="Arial" w:hAnsi="Arial" w:cs="Arial"/>
          <w:sz w:val="22"/>
          <w:szCs w:val="22"/>
        </w:rPr>
      </w:pPr>
      <w:r w:rsidRPr="004D07DE">
        <w:rPr>
          <w:rFonts w:ascii="Arial" w:eastAsia="Arial" w:hAnsi="Arial" w:cs="Arial"/>
          <w:sz w:val="22"/>
          <w:szCs w:val="22"/>
        </w:rPr>
        <w:t xml:space="preserve">oxid siřičitý, </w:t>
      </w:r>
      <w:proofErr w:type="spellStart"/>
      <w:r w:rsidRPr="004D07DE">
        <w:rPr>
          <w:rFonts w:ascii="Arial" w:eastAsia="Arial" w:hAnsi="Arial" w:cs="Arial"/>
          <w:sz w:val="22"/>
          <w:szCs w:val="22"/>
        </w:rPr>
        <w:t>tetrachlormethan</w:t>
      </w:r>
      <w:proofErr w:type="spellEnd"/>
      <w:r w:rsidRPr="004D07D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D07DE">
        <w:rPr>
          <w:rFonts w:ascii="Arial" w:eastAsia="Arial" w:hAnsi="Arial" w:cs="Arial"/>
          <w:sz w:val="22"/>
          <w:szCs w:val="22"/>
        </w:rPr>
        <w:t>tetraethylsilikát</w:t>
      </w:r>
      <w:proofErr w:type="spellEnd"/>
      <w:r w:rsidRPr="004D07DE">
        <w:rPr>
          <w:rFonts w:ascii="Arial" w:eastAsia="Arial" w:hAnsi="Arial" w:cs="Arial"/>
          <w:sz w:val="22"/>
          <w:szCs w:val="22"/>
        </w:rPr>
        <w:t xml:space="preserve">, kyselina octová, </w:t>
      </w:r>
      <w:proofErr w:type="spellStart"/>
      <w:r w:rsidRPr="004D07DE">
        <w:rPr>
          <w:rFonts w:ascii="Arial" w:eastAsia="Arial" w:hAnsi="Arial" w:cs="Arial"/>
          <w:sz w:val="22"/>
          <w:szCs w:val="22"/>
        </w:rPr>
        <w:t>ethylacetát</w:t>
      </w:r>
      <w:proofErr w:type="spellEnd"/>
      <w:r w:rsidRPr="004D07D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D07DE">
        <w:rPr>
          <w:rFonts w:ascii="Arial" w:eastAsia="Arial" w:hAnsi="Arial" w:cs="Arial"/>
          <w:sz w:val="22"/>
          <w:szCs w:val="22"/>
        </w:rPr>
        <w:t>d</w:t>
      </w:r>
      <w:r w:rsidR="00453B32" w:rsidRPr="004D07DE">
        <w:rPr>
          <w:rFonts w:ascii="Arial" w:eastAsia="Arial" w:hAnsi="Arial" w:cs="Arial"/>
          <w:sz w:val="22"/>
          <w:szCs w:val="22"/>
        </w:rPr>
        <w:t>ichlormethan</w:t>
      </w:r>
      <w:proofErr w:type="spellEnd"/>
      <w:r w:rsidR="00453B32" w:rsidRPr="004D07DE"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 w:rsidR="00453B32" w:rsidRPr="004D07DE">
        <w:rPr>
          <w:rFonts w:ascii="Arial" w:eastAsia="Arial" w:hAnsi="Arial" w:cs="Arial"/>
          <w:sz w:val="22"/>
          <w:szCs w:val="22"/>
        </w:rPr>
        <w:t>1,1-d</w:t>
      </w:r>
      <w:r w:rsidRPr="004D07DE">
        <w:rPr>
          <w:rFonts w:ascii="Arial" w:eastAsia="Arial" w:hAnsi="Arial" w:cs="Arial"/>
          <w:sz w:val="22"/>
          <w:szCs w:val="22"/>
        </w:rPr>
        <w:t>ichlorethen</w:t>
      </w:r>
      <w:proofErr w:type="gramEnd"/>
      <w:r w:rsidRPr="004D07D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D07DE">
        <w:rPr>
          <w:rFonts w:ascii="Arial" w:eastAsia="Arial" w:hAnsi="Arial" w:cs="Arial"/>
          <w:sz w:val="22"/>
          <w:szCs w:val="22"/>
        </w:rPr>
        <w:t>d</w:t>
      </w:r>
      <w:r w:rsidR="00453B32" w:rsidRPr="004D07DE">
        <w:rPr>
          <w:rFonts w:ascii="Arial" w:eastAsia="Arial" w:hAnsi="Arial" w:cs="Arial"/>
          <w:sz w:val="22"/>
          <w:szCs w:val="22"/>
        </w:rPr>
        <w:t>ifenylether</w:t>
      </w:r>
      <w:proofErr w:type="spellEnd"/>
      <w:r w:rsidR="00453B32" w:rsidRPr="004D07DE">
        <w:rPr>
          <w:rFonts w:ascii="Arial" w:eastAsia="Arial" w:hAnsi="Arial" w:cs="Arial"/>
          <w:sz w:val="22"/>
          <w:szCs w:val="22"/>
        </w:rPr>
        <w:t>, 2,2-b</w:t>
      </w:r>
      <w:r w:rsidRPr="004D07DE">
        <w:rPr>
          <w:rFonts w:ascii="Arial" w:eastAsia="Arial" w:hAnsi="Arial" w:cs="Arial"/>
          <w:sz w:val="22"/>
          <w:szCs w:val="22"/>
        </w:rPr>
        <w:t>is(4-hydroxyfenyl)propan</w:t>
      </w:r>
    </w:p>
    <w:p w:rsidR="000E3107" w:rsidRPr="004D07DE" w:rsidRDefault="000E3107" w:rsidP="004D07DE">
      <w:pPr>
        <w:pStyle w:val="odstavec1"/>
        <w:spacing w:before="0"/>
        <w:ind w:firstLine="0"/>
        <w:rPr>
          <w:rFonts w:ascii="Arial" w:eastAsia="Arial" w:hAnsi="Arial" w:cs="Arial"/>
          <w:sz w:val="22"/>
          <w:szCs w:val="22"/>
        </w:rPr>
      </w:pPr>
    </w:p>
    <w:p w:rsidR="000E3107" w:rsidRPr="004D07DE" w:rsidRDefault="000E3107" w:rsidP="004D07DE">
      <w:pPr>
        <w:pStyle w:val="odstavec1"/>
        <w:spacing w:before="0"/>
        <w:ind w:firstLine="0"/>
        <w:rPr>
          <w:rFonts w:ascii="Arial" w:eastAsia="Arial" w:hAnsi="Arial" w:cs="Arial"/>
          <w:sz w:val="22"/>
          <w:szCs w:val="22"/>
        </w:rPr>
      </w:pPr>
      <w:r w:rsidRPr="004D07DE">
        <w:rPr>
          <w:rFonts w:ascii="Arial" w:eastAsia="Arial" w:hAnsi="Arial" w:cs="Arial"/>
          <w:sz w:val="22"/>
          <w:szCs w:val="22"/>
        </w:rPr>
        <w:t xml:space="preserve">Dále příloha </w:t>
      </w:r>
      <w:proofErr w:type="gramStart"/>
      <w:r w:rsidRPr="004D07DE">
        <w:rPr>
          <w:rFonts w:ascii="Arial" w:eastAsia="Arial" w:hAnsi="Arial" w:cs="Arial"/>
          <w:sz w:val="22"/>
          <w:szCs w:val="22"/>
        </w:rPr>
        <w:t>č. 2 část</w:t>
      </w:r>
      <w:proofErr w:type="gramEnd"/>
      <w:r w:rsidRPr="004D07DE">
        <w:rPr>
          <w:rFonts w:ascii="Arial" w:eastAsia="Arial" w:hAnsi="Arial" w:cs="Arial"/>
          <w:sz w:val="22"/>
          <w:szCs w:val="22"/>
        </w:rPr>
        <w:t xml:space="preserve"> A doplňuje vysvětlení, které reaguje na směrnice Komise 2017/164, kde ve vysvětlivkách doplňuje zejména poznámku možnou dermální absorpci, </w:t>
      </w:r>
      <w:proofErr w:type="spellStart"/>
      <w:r w:rsidRPr="004D07DE">
        <w:rPr>
          <w:rFonts w:ascii="Arial" w:eastAsia="Arial" w:hAnsi="Arial" w:cs="Arial"/>
          <w:sz w:val="22"/>
          <w:szCs w:val="22"/>
        </w:rPr>
        <w:t>respirabilní</w:t>
      </w:r>
      <w:proofErr w:type="spellEnd"/>
      <w:r w:rsidRPr="004D07DE">
        <w:rPr>
          <w:rFonts w:ascii="Arial" w:eastAsia="Arial" w:hAnsi="Arial" w:cs="Arial"/>
          <w:sz w:val="22"/>
          <w:szCs w:val="22"/>
        </w:rPr>
        <w:t xml:space="preserve"> frakci aerosolu a možnost </w:t>
      </w:r>
      <w:proofErr w:type="spellStart"/>
      <w:r w:rsidRPr="004D07DE">
        <w:rPr>
          <w:rFonts w:ascii="Arial" w:eastAsia="Arial" w:hAnsi="Arial" w:cs="Arial"/>
          <w:sz w:val="22"/>
          <w:szCs w:val="22"/>
        </w:rPr>
        <w:t>vdechovatelné</w:t>
      </w:r>
      <w:proofErr w:type="spellEnd"/>
      <w:r w:rsidRPr="004D07DE">
        <w:rPr>
          <w:rFonts w:ascii="Arial" w:eastAsia="Arial" w:hAnsi="Arial" w:cs="Arial"/>
          <w:sz w:val="22"/>
          <w:szCs w:val="22"/>
        </w:rPr>
        <w:t xml:space="preserve"> frakce u aerosolu.  </w:t>
      </w:r>
    </w:p>
    <w:p w:rsidR="00166D4D" w:rsidRPr="004D07DE" w:rsidRDefault="00166D4D" w:rsidP="004D07DE">
      <w:pPr>
        <w:pStyle w:val="odstavec1"/>
        <w:spacing w:before="0"/>
        <w:ind w:firstLine="0"/>
        <w:rPr>
          <w:rFonts w:ascii="Arial" w:eastAsia="Arial" w:hAnsi="Arial" w:cs="Arial"/>
          <w:sz w:val="22"/>
          <w:szCs w:val="22"/>
        </w:rPr>
      </w:pPr>
    </w:p>
    <w:p w:rsidR="004D07DE" w:rsidRPr="00845E8A" w:rsidRDefault="00166D4D" w:rsidP="00845E8A">
      <w:pPr>
        <w:pStyle w:val="odstavec1"/>
        <w:spacing w:before="0"/>
        <w:ind w:firstLine="0"/>
        <w:rPr>
          <w:rFonts w:ascii="Arial" w:eastAsia="Arial" w:hAnsi="Arial" w:cs="Arial"/>
          <w:sz w:val="22"/>
          <w:szCs w:val="22"/>
        </w:rPr>
      </w:pPr>
      <w:r w:rsidRPr="004D07DE">
        <w:rPr>
          <w:rFonts w:ascii="Arial" w:eastAsia="Arial" w:hAnsi="Arial" w:cs="Arial"/>
          <w:sz w:val="22"/>
          <w:szCs w:val="22"/>
        </w:rPr>
        <w:t xml:space="preserve">V souladu s přílohou č. 2 vyhlášky č. 432/2003 Sb. bylo do poznámky doplněno „B“ u těchto chemických látek: Anilin, arsen a arsenovodík, benzen, cyklohexanon, </w:t>
      </w:r>
      <w:proofErr w:type="spellStart"/>
      <w:r w:rsidRPr="004D07DE">
        <w:rPr>
          <w:rFonts w:ascii="Arial" w:eastAsia="Arial" w:hAnsi="Arial" w:cs="Arial"/>
          <w:sz w:val="22"/>
          <w:szCs w:val="22"/>
        </w:rPr>
        <w:t>dimethylformamid</w:t>
      </w:r>
      <w:proofErr w:type="spellEnd"/>
      <w:r w:rsidRPr="004D07D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7E5BB5" w:rsidRPr="004D07DE">
        <w:rPr>
          <w:rFonts w:ascii="Arial" w:eastAsia="Arial" w:hAnsi="Arial" w:cs="Arial"/>
          <w:sz w:val="22"/>
          <w:szCs w:val="22"/>
        </w:rPr>
        <w:t>ethylbenzen</w:t>
      </w:r>
      <w:proofErr w:type="spellEnd"/>
      <w:r w:rsidR="007E5BB5" w:rsidRPr="004D07D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7E5BB5" w:rsidRPr="004D07DE">
        <w:rPr>
          <w:rFonts w:ascii="Arial" w:eastAsia="Arial" w:hAnsi="Arial" w:cs="Arial"/>
          <w:sz w:val="22"/>
          <w:szCs w:val="22"/>
        </w:rPr>
        <w:t>ethylenglykolmonobutylether</w:t>
      </w:r>
      <w:proofErr w:type="spellEnd"/>
      <w:r w:rsidR="007E5BB5" w:rsidRPr="004D07D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7E5BB5" w:rsidRPr="004D07DE">
        <w:rPr>
          <w:rFonts w:ascii="Arial" w:eastAsia="Arial" w:hAnsi="Arial" w:cs="Arial"/>
          <w:sz w:val="22"/>
          <w:szCs w:val="22"/>
        </w:rPr>
        <w:t>ethylenglykolmonobutyletheracetát</w:t>
      </w:r>
      <w:proofErr w:type="spellEnd"/>
      <w:r w:rsidR="007E5BB5" w:rsidRPr="004D07D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7E5BB5" w:rsidRPr="004D07DE">
        <w:rPr>
          <w:rFonts w:ascii="Arial" w:eastAsia="Arial" w:hAnsi="Arial" w:cs="Arial"/>
          <w:sz w:val="22"/>
          <w:szCs w:val="22"/>
        </w:rPr>
        <w:t>ethylenglykolmonoethylether</w:t>
      </w:r>
      <w:proofErr w:type="spellEnd"/>
      <w:r w:rsidR="007E5BB5" w:rsidRPr="004D07D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7E5BB5" w:rsidRPr="004D07DE">
        <w:rPr>
          <w:rFonts w:ascii="Arial" w:eastAsia="Arial" w:hAnsi="Arial" w:cs="Arial"/>
          <w:sz w:val="22"/>
          <w:szCs w:val="22"/>
        </w:rPr>
        <w:t>ethylenglykolmonoethyletheracetát</w:t>
      </w:r>
      <w:proofErr w:type="spellEnd"/>
      <w:r w:rsidR="007E5BB5" w:rsidRPr="004D07DE">
        <w:rPr>
          <w:rFonts w:ascii="Arial" w:eastAsia="Arial" w:hAnsi="Arial" w:cs="Arial"/>
          <w:sz w:val="22"/>
          <w:szCs w:val="22"/>
        </w:rPr>
        <w:t xml:space="preserve">, fenol, fluoridy, fural, chrom, kadmium, </w:t>
      </w:r>
      <w:proofErr w:type="spellStart"/>
      <w:r w:rsidR="007E5BB5" w:rsidRPr="004D07DE">
        <w:rPr>
          <w:rFonts w:ascii="Arial" w:eastAsia="Arial" w:hAnsi="Arial" w:cs="Arial"/>
          <w:sz w:val="22"/>
          <w:szCs w:val="22"/>
        </w:rPr>
        <w:t>methanol</w:t>
      </w:r>
      <w:proofErr w:type="spellEnd"/>
      <w:r w:rsidR="007E5BB5" w:rsidRPr="004D07DE">
        <w:rPr>
          <w:rFonts w:ascii="Arial" w:eastAsia="Arial" w:hAnsi="Arial" w:cs="Arial"/>
          <w:sz w:val="22"/>
          <w:szCs w:val="22"/>
        </w:rPr>
        <w:t xml:space="preserve">, nikl, nitrobenzen, olovo, </w:t>
      </w:r>
      <w:proofErr w:type="spellStart"/>
      <w:r w:rsidR="007E5BB5" w:rsidRPr="004D07DE">
        <w:rPr>
          <w:rFonts w:ascii="Arial" w:eastAsia="Arial" w:hAnsi="Arial" w:cs="Arial"/>
          <w:sz w:val="22"/>
          <w:szCs w:val="22"/>
        </w:rPr>
        <w:t>pentachlorfenol</w:t>
      </w:r>
      <w:proofErr w:type="spellEnd"/>
      <w:r w:rsidR="007E5BB5" w:rsidRPr="004D07DE">
        <w:rPr>
          <w:rFonts w:ascii="Arial" w:eastAsia="Arial" w:hAnsi="Arial" w:cs="Arial"/>
          <w:sz w:val="22"/>
          <w:szCs w:val="22"/>
        </w:rPr>
        <w:t xml:space="preserve">, rtuť a její sloučeniny anorganické a </w:t>
      </w:r>
      <w:proofErr w:type="spellStart"/>
      <w:r w:rsidR="007E5BB5" w:rsidRPr="004D07DE">
        <w:rPr>
          <w:rFonts w:ascii="Arial" w:eastAsia="Arial" w:hAnsi="Arial" w:cs="Arial"/>
          <w:sz w:val="22"/>
          <w:szCs w:val="22"/>
        </w:rPr>
        <w:t>fenylrtuťnaté</w:t>
      </w:r>
      <w:proofErr w:type="spellEnd"/>
      <w:r w:rsidR="007E5BB5" w:rsidRPr="004D07DE">
        <w:rPr>
          <w:rFonts w:ascii="Arial" w:eastAsia="Arial" w:hAnsi="Arial" w:cs="Arial"/>
          <w:sz w:val="22"/>
          <w:szCs w:val="22"/>
        </w:rPr>
        <w:t xml:space="preserve">, sirouhlík, styren, toluen, </w:t>
      </w:r>
      <w:proofErr w:type="spellStart"/>
      <w:r w:rsidR="007E5BB5" w:rsidRPr="004D07DE">
        <w:rPr>
          <w:rFonts w:ascii="Arial" w:eastAsia="Arial" w:hAnsi="Arial" w:cs="Arial"/>
          <w:sz w:val="22"/>
          <w:szCs w:val="22"/>
        </w:rPr>
        <w:t>trichloethylen</w:t>
      </w:r>
      <w:proofErr w:type="spellEnd"/>
      <w:r w:rsidR="007E5BB5" w:rsidRPr="004D07DE">
        <w:rPr>
          <w:rFonts w:ascii="Arial" w:eastAsia="Arial" w:hAnsi="Arial" w:cs="Arial"/>
          <w:sz w:val="22"/>
          <w:szCs w:val="22"/>
        </w:rPr>
        <w:t xml:space="preserve">, xyleny, oxid uhelnatý a polychlorované </w:t>
      </w:r>
      <w:proofErr w:type="spellStart"/>
      <w:r w:rsidR="007E5BB5" w:rsidRPr="004D07DE">
        <w:rPr>
          <w:rFonts w:ascii="Arial" w:eastAsia="Arial" w:hAnsi="Arial" w:cs="Arial"/>
          <w:sz w:val="22"/>
          <w:szCs w:val="22"/>
        </w:rPr>
        <w:t>bisfenyly</w:t>
      </w:r>
      <w:proofErr w:type="spellEnd"/>
      <w:r w:rsidR="007E5BB5" w:rsidRPr="004D07DE">
        <w:rPr>
          <w:rFonts w:ascii="Arial" w:eastAsia="Arial" w:hAnsi="Arial" w:cs="Arial"/>
          <w:sz w:val="22"/>
          <w:szCs w:val="22"/>
        </w:rPr>
        <w:t xml:space="preserve">. </w:t>
      </w:r>
    </w:p>
    <w:p w:rsidR="004D07DE" w:rsidRDefault="004D07DE" w:rsidP="004D07DE">
      <w:pPr>
        <w:pStyle w:val="tuenistoed5"/>
        <w:numPr>
          <w:ilvl w:val="12"/>
          <w:numId w:val="0"/>
        </w:numPr>
        <w:outlineLvl w:val="0"/>
        <w:rPr>
          <w:rFonts w:ascii="Arial" w:hAnsi="Arial" w:cs="Arial"/>
          <w:color w:val="auto"/>
          <w:sz w:val="22"/>
          <w:szCs w:val="22"/>
        </w:rPr>
      </w:pPr>
    </w:p>
    <w:p w:rsidR="00FC3A8B" w:rsidRPr="004D07DE" w:rsidRDefault="00FC3A8B" w:rsidP="004D07DE">
      <w:pPr>
        <w:pStyle w:val="tuenistoed5"/>
        <w:numPr>
          <w:ilvl w:val="12"/>
          <w:numId w:val="0"/>
        </w:numPr>
        <w:outlineLvl w:val="0"/>
        <w:rPr>
          <w:rFonts w:ascii="Arial" w:hAnsi="Arial" w:cs="Arial"/>
          <w:color w:val="auto"/>
          <w:sz w:val="22"/>
          <w:szCs w:val="22"/>
        </w:rPr>
      </w:pPr>
      <w:r w:rsidRPr="004D07DE">
        <w:rPr>
          <w:rFonts w:ascii="Arial" w:hAnsi="Arial" w:cs="Arial"/>
          <w:color w:val="auto"/>
          <w:sz w:val="22"/>
          <w:szCs w:val="22"/>
        </w:rPr>
        <w:t>Chemické látky, jejich hygienické limity a postup při jejich stanovení</w:t>
      </w:r>
    </w:p>
    <w:p w:rsidR="00FC3A8B" w:rsidRPr="004D07DE" w:rsidRDefault="00FC3A8B" w:rsidP="004D07DE">
      <w:pPr>
        <w:pStyle w:val="Nadpishlavy"/>
        <w:keepNext w:val="0"/>
        <w:keepLines w:val="0"/>
        <w:rPr>
          <w:rFonts w:ascii="Arial" w:hAnsi="Arial" w:cs="Arial"/>
          <w:b w:val="0"/>
          <w:sz w:val="22"/>
          <w:szCs w:val="22"/>
        </w:rPr>
      </w:pPr>
      <w:r w:rsidRPr="004D07DE">
        <w:rPr>
          <w:rFonts w:ascii="Arial" w:hAnsi="Arial" w:cs="Arial"/>
          <w:b w:val="0"/>
          <w:sz w:val="22"/>
          <w:szCs w:val="22"/>
        </w:rPr>
        <w:t>ČÁST A</w:t>
      </w:r>
    </w:p>
    <w:p w:rsidR="00FC3A8B" w:rsidRPr="004D07DE" w:rsidRDefault="00FC3A8B" w:rsidP="004D07DE">
      <w:pPr>
        <w:pStyle w:val="Nadpisoddlu"/>
        <w:rPr>
          <w:rFonts w:ascii="Arial" w:hAnsi="Arial" w:cs="Arial"/>
          <w:sz w:val="22"/>
          <w:szCs w:val="22"/>
        </w:rPr>
      </w:pPr>
      <w:r w:rsidRPr="004D07DE">
        <w:rPr>
          <w:rFonts w:ascii="Arial" w:hAnsi="Arial" w:cs="Arial"/>
          <w:sz w:val="22"/>
          <w:szCs w:val="22"/>
        </w:rPr>
        <w:t>Seznam chemických látek a jejich přípustné expoziční limity (PEL) a nejvyšší přípustné koncentrace v pracovním prostředí (NPK-P)</w:t>
      </w:r>
    </w:p>
    <w:p w:rsidR="00FC3A8B" w:rsidRPr="004D07DE" w:rsidRDefault="00FC3A8B" w:rsidP="004D07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:rsidR="00FC3A8B" w:rsidRPr="004D07DE" w:rsidRDefault="00FC3A8B" w:rsidP="004D07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tbl>
      <w:tblPr>
        <w:tblW w:w="9214" w:type="dxa"/>
        <w:tblInd w:w="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325"/>
        <w:gridCol w:w="998"/>
        <w:gridCol w:w="11"/>
        <w:gridCol w:w="987"/>
        <w:gridCol w:w="1327"/>
        <w:gridCol w:w="1164"/>
      </w:tblGrid>
      <w:tr w:rsidR="00FC3A8B" w:rsidRPr="004D07DE" w:rsidTr="005E31D0">
        <w:trPr>
          <w:trHeight w:val="470"/>
          <w:tblHeader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b/>
                <w:color w:val="auto"/>
                <w:sz w:val="22"/>
                <w:szCs w:val="22"/>
              </w:rPr>
              <w:t>látka</w:t>
            </w:r>
          </w:p>
        </w:tc>
        <w:tc>
          <w:tcPr>
            <w:tcW w:w="1325" w:type="dxa"/>
            <w:vMerge w:val="restart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b/>
                <w:color w:val="auto"/>
                <w:sz w:val="22"/>
                <w:szCs w:val="22"/>
              </w:rPr>
              <w:t>číslo CAS</w:t>
            </w:r>
          </w:p>
        </w:tc>
        <w:tc>
          <w:tcPr>
            <w:tcW w:w="1009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b/>
                <w:color w:val="auto"/>
                <w:sz w:val="22"/>
                <w:szCs w:val="22"/>
              </w:rPr>
              <w:t>PEL</w:t>
            </w:r>
          </w:p>
        </w:tc>
        <w:tc>
          <w:tcPr>
            <w:tcW w:w="987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b/>
                <w:color w:val="auto"/>
                <w:sz w:val="22"/>
                <w:szCs w:val="22"/>
              </w:rPr>
              <w:t>NPK-P</w:t>
            </w:r>
          </w:p>
        </w:tc>
        <w:tc>
          <w:tcPr>
            <w:tcW w:w="1327" w:type="dxa"/>
            <w:vMerge w:val="restart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b/>
                <w:color w:val="auto"/>
                <w:sz w:val="22"/>
                <w:szCs w:val="22"/>
              </w:rPr>
              <w:t>poznámky</w:t>
            </w:r>
          </w:p>
        </w:tc>
        <w:tc>
          <w:tcPr>
            <w:tcW w:w="1164" w:type="dxa"/>
            <w:vMerge w:val="restart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faktor přepočtu na </w:t>
            </w:r>
            <w:proofErr w:type="spellStart"/>
            <w:r w:rsidRPr="004D07DE">
              <w:rPr>
                <w:rFonts w:ascii="Arial" w:hAnsi="Arial" w:cs="Arial"/>
                <w:b/>
                <w:color w:val="auto"/>
                <w:sz w:val="22"/>
                <w:szCs w:val="22"/>
              </w:rPr>
              <w:t>ppm</w:t>
            </w:r>
            <w:proofErr w:type="spellEnd"/>
          </w:p>
        </w:tc>
      </w:tr>
      <w:tr w:rsidR="00FC3A8B" w:rsidRPr="004D07DE" w:rsidTr="005E31D0">
        <w:trPr>
          <w:tblHeader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vertAlign w:val="superscript"/>
              </w:rPr>
            </w:pPr>
            <w:r w:rsidRPr="004D07DE">
              <w:rPr>
                <w:rFonts w:ascii="Arial" w:hAnsi="Arial" w:cs="Arial"/>
                <w:b/>
                <w:color w:val="auto"/>
                <w:sz w:val="22"/>
                <w:szCs w:val="22"/>
              </w:rPr>
              <w:t>mg.m</w:t>
            </w:r>
            <w:r w:rsidRPr="004D07DE">
              <w:rPr>
                <w:rFonts w:ascii="Arial" w:hAnsi="Arial" w:cs="Arial"/>
                <w:b/>
                <w:color w:val="auto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327" w:type="dxa"/>
            <w:vMerge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Amitrol</w:t>
            </w:r>
            <w:proofErr w:type="spellEnd"/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61-82-5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0,2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0,4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Import5"/>
              <w:tabs>
                <w:tab w:val="clear" w:pos="2448"/>
                <w:tab w:val="clear" w:pos="4176"/>
                <w:tab w:val="clear" w:pos="7200"/>
                <w:tab w:val="clear" w:pos="8928"/>
              </w:tabs>
              <w:rPr>
                <w:rFonts w:ascii="Arial" w:hAnsi="Arial" w:cs="Arial"/>
                <w:sz w:val="22"/>
                <w:szCs w:val="22"/>
              </w:rPr>
            </w:pPr>
            <w:r w:rsidRPr="004D07DE">
              <w:rPr>
                <w:rFonts w:ascii="Arial" w:hAnsi="Arial" w:cs="Arial"/>
                <w:sz w:val="22"/>
                <w:szCs w:val="22"/>
              </w:rPr>
              <w:t>2,2-</w:t>
            </w:r>
            <w:proofErr w:type="gramStart"/>
            <w:r w:rsidRPr="004D07DE">
              <w:rPr>
                <w:rFonts w:ascii="Arial" w:hAnsi="Arial" w:cs="Arial"/>
                <w:sz w:val="22"/>
                <w:szCs w:val="22"/>
              </w:rPr>
              <w:t>Bis(4-hydroxyfenyl</w:t>
            </w:r>
            <w:proofErr w:type="gramEnd"/>
            <w:r w:rsidRPr="004D07DE">
              <w:rPr>
                <w:rFonts w:ascii="Arial" w:hAnsi="Arial" w:cs="Arial"/>
                <w:sz w:val="22"/>
                <w:szCs w:val="22"/>
              </w:rPr>
              <w:t>)propan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80-05-7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Import5"/>
              <w:tabs>
                <w:tab w:val="clear" w:pos="2448"/>
                <w:tab w:val="clear" w:pos="4176"/>
                <w:tab w:val="clear" w:pos="7200"/>
                <w:tab w:val="clear" w:pos="892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07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Import5"/>
              <w:tabs>
                <w:tab w:val="clear" w:pos="2448"/>
                <w:tab w:val="clear" w:pos="4176"/>
                <w:tab w:val="clear" w:pos="7200"/>
                <w:tab w:val="clear" w:pos="892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07DE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Import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07DE">
              <w:rPr>
                <w:rFonts w:ascii="Arial" w:hAnsi="Arial" w:cs="Arial"/>
                <w:sz w:val="22"/>
                <w:szCs w:val="22"/>
              </w:rPr>
              <w:t xml:space="preserve">I, </w:t>
            </w: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V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Butandion</w:t>
            </w:r>
            <w:proofErr w:type="spellEnd"/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431-03-8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0,07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0,36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0,278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gramStart"/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But-2-yn-1,4-diol</w:t>
            </w:r>
            <w:proofErr w:type="gramEnd"/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110-65-6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0,5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D, S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0,284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Difenylether</w:t>
            </w:r>
            <w:proofErr w:type="spellEnd"/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101-84-8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0,144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 xml:space="preserve">1,4-Dichlorbenzen 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106-46-7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12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60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D, I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0,166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1,1-Dichlorethen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75-35-4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0,252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Dichlormethan</w:t>
            </w:r>
            <w:proofErr w:type="spellEnd"/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75-09-2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500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0,288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Ethylacetát</w:t>
            </w:r>
            <w:proofErr w:type="spellEnd"/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141-78-6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700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900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0,278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2-Ethylhexanol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104-76-7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6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12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0,188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Glyceroltrinitrát</w:t>
            </w:r>
            <w:proofErr w:type="spellEnd"/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55-63-0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0,1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0,2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0,108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Hydrid lithný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7580-67-8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0,01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0,02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V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 xml:space="preserve">Hydroxid vápenatý 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1305-62-0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R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Kyanid draselný, jako CN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151-50-8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Kyanid sodný, jako CN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143-33-9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 xml:space="preserve">Kyanovodík 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74-90-8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 xml:space="preserve">5 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0,905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 xml:space="preserve">Kyselina akrylová 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79-10-7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 xml:space="preserve">30 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 xml:space="preserve">60 </w:t>
            </w:r>
          </w:p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(1 min)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Kyselina octová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64-19-7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0,408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 xml:space="preserve">Mangan a jeho </w:t>
            </w: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anorganické</w:t>
            </w: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 xml:space="preserve"> sloučeniny, jako </w:t>
            </w:r>
            <w:proofErr w:type="spellStart"/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Mn</w:t>
            </w:r>
            <w:proofErr w:type="spellEnd"/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7439-96-5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0,2</w:t>
            </w:r>
          </w:p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0,05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0,4</w:t>
            </w:r>
          </w:p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0,1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V</w:t>
            </w:r>
          </w:p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R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Methylformiát</w:t>
            </w:r>
            <w:proofErr w:type="spellEnd"/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107-31-3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125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250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D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0,408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Nitroethan</w:t>
            </w:r>
            <w:proofErr w:type="spellEnd"/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79-24-3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60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300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D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0,326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 xml:space="preserve">Oxid dusičitý 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10102-44-0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0,531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Oxid dusnatý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10102-43-9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2,5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0,815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Oxid siřičitý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7446-09-5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1,5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0,382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 xml:space="preserve">Oxid uhelnatý 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630-08-0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25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120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 xml:space="preserve">P, </w:t>
            </w: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B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0,873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2-Propenal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107-02-8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0,05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0,12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0,436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keepNext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 xml:space="preserve">Oxid vápenatý 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1305-78-8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R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Terfenyl</w:t>
            </w:r>
            <w:proofErr w:type="spellEnd"/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, hydrogenovaný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61788-32-7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20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50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Tetrachlorethen</w:t>
            </w:r>
            <w:proofErr w:type="spellEnd"/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127-18-4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140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FF0000"/>
                <w:sz w:val="22"/>
                <w:szCs w:val="22"/>
              </w:rPr>
              <w:t>280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0,147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Tetrachlormethan</w:t>
            </w:r>
            <w:proofErr w:type="spellEnd"/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56-23-5</w:t>
            </w:r>
          </w:p>
        </w:tc>
        <w:tc>
          <w:tcPr>
            <w:tcW w:w="998" w:type="dxa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998" w:type="dxa"/>
            <w:gridSpan w:val="2"/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32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D, P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0,159</w:t>
            </w:r>
          </w:p>
        </w:tc>
      </w:tr>
      <w:tr w:rsidR="00FC3A8B" w:rsidRPr="004D07DE" w:rsidTr="005E31D0">
        <w:trPr>
          <w:tblHeader/>
        </w:trPr>
        <w:tc>
          <w:tcPr>
            <w:tcW w:w="340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Tetraethylsilikát</w:t>
            </w:r>
            <w:proofErr w:type="spellEnd"/>
          </w:p>
        </w:tc>
        <w:tc>
          <w:tcPr>
            <w:tcW w:w="1325" w:type="dxa"/>
            <w:tcBorders>
              <w:left w:val="nil"/>
              <w:bottom w:val="single" w:sz="12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tabs>
                <w:tab w:val="left" w:pos="838"/>
              </w:tabs>
              <w:ind w:firstLine="62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78-10-4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50</w:t>
            </w:r>
          </w:p>
        </w:tc>
        <w:tc>
          <w:tcPr>
            <w:tcW w:w="998" w:type="dxa"/>
            <w:gridSpan w:val="2"/>
            <w:tcBorders>
              <w:bottom w:val="single" w:sz="12" w:space="0" w:color="auto"/>
            </w:tcBorders>
            <w:vAlign w:val="center"/>
          </w:tcPr>
          <w:p w:rsidR="00FC3A8B" w:rsidRPr="004D07DE" w:rsidRDefault="00FC3A8B" w:rsidP="004D07DE">
            <w:pPr>
              <w:pStyle w:val="odka2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200</w:t>
            </w:r>
          </w:p>
        </w:tc>
        <w:tc>
          <w:tcPr>
            <w:tcW w:w="1327" w:type="dxa"/>
            <w:tcBorders>
              <w:bottom w:val="single" w:sz="12" w:space="0" w:color="auto"/>
              <w:right w:val="nil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C3A8B" w:rsidRPr="004D07DE" w:rsidRDefault="00FC3A8B" w:rsidP="004D07DE">
            <w:pPr>
              <w:pStyle w:val="odek0"/>
              <w:numPr>
                <w:ilvl w:val="12"/>
                <w:numId w:val="0"/>
              </w:numPr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07DE">
              <w:rPr>
                <w:rFonts w:ascii="Arial" w:hAnsi="Arial" w:cs="Arial"/>
                <w:color w:val="auto"/>
                <w:sz w:val="22"/>
                <w:szCs w:val="22"/>
              </w:rPr>
              <w:t>0,117</w:t>
            </w:r>
          </w:p>
        </w:tc>
      </w:tr>
    </w:tbl>
    <w:p w:rsidR="00FC3A8B" w:rsidRPr="004D07DE" w:rsidRDefault="005E31D0" w:rsidP="004D07DE">
      <w:pPr>
        <w:spacing w:line="240" w:lineRule="auto"/>
        <w:jc w:val="both"/>
        <w:rPr>
          <w:rFonts w:ascii="Arial" w:hAnsi="Arial" w:cs="Arial"/>
          <w:i/>
        </w:rPr>
      </w:pPr>
      <w:r w:rsidRPr="004D07DE">
        <w:rPr>
          <w:rFonts w:ascii="Arial" w:hAnsi="Arial" w:cs="Arial"/>
          <w:i/>
        </w:rPr>
        <w:t xml:space="preserve">Poznámka: </w:t>
      </w:r>
      <w:r w:rsidR="00FC3A8B" w:rsidRPr="004D07DE">
        <w:rPr>
          <w:rFonts w:ascii="Arial" w:hAnsi="Arial" w:cs="Arial"/>
          <w:i/>
        </w:rPr>
        <w:t xml:space="preserve">Červeně jsou vyznačeny látky a limitní expozice, které jsou do nařízení vlády nově přidány či jsou jejich limitní </w:t>
      </w:r>
      <w:r w:rsidR="00453B32" w:rsidRPr="004D07DE">
        <w:rPr>
          <w:rFonts w:ascii="Arial" w:hAnsi="Arial" w:cs="Arial"/>
          <w:i/>
        </w:rPr>
        <w:t xml:space="preserve">hodnoty </w:t>
      </w:r>
      <w:r w:rsidR="00FC3A8B" w:rsidRPr="004D07DE">
        <w:rPr>
          <w:rFonts w:ascii="Arial" w:hAnsi="Arial" w:cs="Arial"/>
          <w:i/>
        </w:rPr>
        <w:t>upraveny v souladu se směrnicí Komise 2017/164.</w:t>
      </w:r>
    </w:p>
    <w:p w:rsidR="00FC3A8B" w:rsidRPr="004D07DE" w:rsidRDefault="00FC3A8B" w:rsidP="004D07DE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845E8A" w:rsidRDefault="00845E8A" w:rsidP="004D07DE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3377C" w:rsidRDefault="00FD1344" w:rsidP="00E06F5A">
      <w:pPr>
        <w:widowControl w:val="0"/>
        <w:tabs>
          <w:tab w:val="left" w:pos="851"/>
        </w:tabs>
        <w:suppressAutoHyphens/>
        <w:spacing w:after="0" w:line="240" w:lineRule="auto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>Č</w:t>
      </w:r>
      <w:r w:rsidR="009A6906" w:rsidRPr="004D07DE">
        <w:rPr>
          <w:rFonts w:ascii="Arial" w:eastAsia="Arial" w:hAnsi="Arial" w:cs="Arial"/>
          <w:b/>
        </w:rPr>
        <w:t>l. II P</w:t>
      </w:r>
      <w:r w:rsidR="00B3377C" w:rsidRPr="004D07DE">
        <w:rPr>
          <w:rFonts w:ascii="Arial" w:eastAsia="Arial" w:hAnsi="Arial" w:cs="Arial"/>
          <w:b/>
        </w:rPr>
        <w:t>řechodné ustanovení</w:t>
      </w:r>
    </w:p>
    <w:p w:rsidR="00845E8A" w:rsidRPr="004D07DE" w:rsidRDefault="00845E8A" w:rsidP="004D07DE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837DBA" w:rsidRPr="004D07DE" w:rsidRDefault="00B3377C" w:rsidP="004D07D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4D07DE">
        <w:rPr>
          <w:rFonts w:ascii="Arial" w:eastAsia="Arial" w:hAnsi="Arial" w:cs="Arial"/>
        </w:rPr>
        <w:t xml:space="preserve">V přechodném ustanovení se vymezuje, </w:t>
      </w:r>
      <w:r w:rsidR="00837DBA" w:rsidRPr="004D07DE">
        <w:rPr>
          <w:rFonts w:ascii="Arial" w:eastAsia="Arial" w:hAnsi="Arial" w:cs="Arial"/>
        </w:rPr>
        <w:t xml:space="preserve">v souladu se směrnicí Komise 2017/164, přechodné období do 21. srpna 2023 pro limitní hodnoty oxid dusnatý, oxid dusičitý a oxid uhelnatý při hlubinné těžbě a ražení tunelů. Po dobu přechodného období mohou podnikatelské subjekty využít limitních hodnot </w:t>
      </w:r>
      <w:r w:rsidR="004835E2" w:rsidRPr="004D07DE">
        <w:rPr>
          <w:rFonts w:ascii="Arial" w:eastAsia="Arial" w:hAnsi="Arial" w:cs="Arial"/>
        </w:rPr>
        <w:t>stanovených nařízením vlády</w:t>
      </w:r>
      <w:r w:rsidR="000422CA">
        <w:rPr>
          <w:rFonts w:ascii="Arial" w:eastAsia="Arial" w:hAnsi="Arial" w:cs="Arial"/>
        </w:rPr>
        <w:t xml:space="preserve"> č. 361/2007 Sb., ve znění nařízení vlády</w:t>
      </w:r>
      <w:r w:rsidR="004835E2" w:rsidRPr="004D07DE">
        <w:rPr>
          <w:rFonts w:ascii="Arial" w:eastAsia="Arial" w:hAnsi="Arial" w:cs="Arial"/>
        </w:rPr>
        <w:t xml:space="preserve"> č. 9/2013 Sb.</w:t>
      </w:r>
      <w:r w:rsidR="00837DBA" w:rsidRPr="004D07DE">
        <w:rPr>
          <w:rFonts w:ascii="Arial" w:eastAsia="Arial" w:hAnsi="Arial" w:cs="Arial"/>
        </w:rPr>
        <w:t xml:space="preserve">  </w:t>
      </w:r>
    </w:p>
    <w:p w:rsidR="00837DBA" w:rsidRPr="004D07DE" w:rsidRDefault="00837DBA" w:rsidP="004D07D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837DBA" w:rsidRPr="004D07DE" w:rsidRDefault="00837DBA" w:rsidP="004D07D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9A6906" w:rsidRDefault="009A6906" w:rsidP="00E06F5A">
      <w:pPr>
        <w:widowControl w:val="0"/>
        <w:tabs>
          <w:tab w:val="left" w:pos="851"/>
        </w:tabs>
        <w:suppressAutoHyphens/>
        <w:spacing w:after="0" w:line="240" w:lineRule="auto"/>
        <w:rPr>
          <w:rFonts w:ascii="Arial" w:eastAsia="Arial" w:hAnsi="Arial" w:cs="Arial"/>
          <w:b/>
        </w:rPr>
      </w:pPr>
      <w:r w:rsidRPr="004D07DE">
        <w:rPr>
          <w:rFonts w:ascii="Arial" w:eastAsia="Arial" w:hAnsi="Arial" w:cs="Arial"/>
          <w:b/>
        </w:rPr>
        <w:t>Čl. III Účinno</w:t>
      </w:r>
      <w:r w:rsidR="0040160C" w:rsidRPr="004D07DE">
        <w:rPr>
          <w:rFonts w:ascii="Arial" w:eastAsia="Arial" w:hAnsi="Arial" w:cs="Arial"/>
          <w:b/>
        </w:rPr>
        <w:t>st</w:t>
      </w:r>
    </w:p>
    <w:p w:rsidR="00845E8A" w:rsidRPr="004D07DE" w:rsidRDefault="00845E8A" w:rsidP="004D07DE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AA1ADF" w:rsidRPr="004D07DE" w:rsidRDefault="009A6906" w:rsidP="004D07D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D07DE">
        <w:rPr>
          <w:rFonts w:ascii="Arial" w:eastAsia="Arial" w:hAnsi="Arial" w:cs="Arial"/>
        </w:rPr>
        <w:t>Navrhovan</w:t>
      </w:r>
      <w:r w:rsidR="004835E2" w:rsidRPr="004D07DE">
        <w:rPr>
          <w:rFonts w:ascii="Arial" w:eastAsia="Arial" w:hAnsi="Arial" w:cs="Arial"/>
        </w:rPr>
        <w:t xml:space="preserve">é nařízení vlády </w:t>
      </w:r>
      <w:r w:rsidRPr="004D07DE">
        <w:rPr>
          <w:rFonts w:ascii="Arial" w:eastAsia="Arial" w:hAnsi="Arial" w:cs="Arial"/>
        </w:rPr>
        <w:t>by měl</w:t>
      </w:r>
      <w:r w:rsidR="004835E2" w:rsidRPr="004D07DE">
        <w:rPr>
          <w:rFonts w:ascii="Arial" w:eastAsia="Arial" w:hAnsi="Arial" w:cs="Arial"/>
        </w:rPr>
        <w:t>o</w:t>
      </w:r>
      <w:r w:rsidRPr="004D07DE">
        <w:rPr>
          <w:rFonts w:ascii="Arial" w:eastAsia="Arial" w:hAnsi="Arial" w:cs="Arial"/>
        </w:rPr>
        <w:t xml:space="preserve"> nabýt účinnosti</w:t>
      </w:r>
      <w:r w:rsidR="000B5FF4">
        <w:rPr>
          <w:rFonts w:ascii="Arial" w:eastAsia="Arial" w:hAnsi="Arial" w:cs="Arial"/>
        </w:rPr>
        <w:t xml:space="preserve"> patnáctým</w:t>
      </w:r>
      <w:r w:rsidRPr="004D07DE">
        <w:rPr>
          <w:rFonts w:ascii="Arial" w:eastAsia="Arial" w:hAnsi="Arial" w:cs="Arial"/>
        </w:rPr>
        <w:t xml:space="preserve"> </w:t>
      </w:r>
      <w:r w:rsidR="004835E2" w:rsidRPr="004D07DE">
        <w:rPr>
          <w:rFonts w:ascii="Arial" w:eastAsia="Arial" w:hAnsi="Arial" w:cs="Arial"/>
        </w:rPr>
        <w:t>dnem</w:t>
      </w:r>
      <w:r w:rsidR="000B5FF4">
        <w:rPr>
          <w:rFonts w:ascii="Arial" w:eastAsia="Arial" w:hAnsi="Arial" w:cs="Arial"/>
        </w:rPr>
        <w:t xml:space="preserve"> po</w:t>
      </w:r>
      <w:r w:rsidR="004835E2" w:rsidRPr="004D07DE">
        <w:rPr>
          <w:rFonts w:ascii="Arial" w:eastAsia="Arial" w:hAnsi="Arial" w:cs="Arial"/>
        </w:rPr>
        <w:t xml:space="preserve"> jeho vyhlášení. </w:t>
      </w:r>
      <w:r w:rsidR="0039268C">
        <w:rPr>
          <w:rFonts w:ascii="Arial" w:eastAsia="Arial" w:hAnsi="Arial" w:cs="Arial"/>
        </w:rPr>
        <w:t xml:space="preserve">Delší doba </w:t>
      </w:r>
      <w:proofErr w:type="spellStart"/>
      <w:r w:rsidR="0039268C">
        <w:rPr>
          <w:rFonts w:ascii="Arial" w:eastAsia="Arial" w:hAnsi="Arial" w:cs="Arial"/>
        </w:rPr>
        <w:t>legisvakance</w:t>
      </w:r>
      <w:proofErr w:type="spellEnd"/>
      <w:r w:rsidR="0039268C">
        <w:rPr>
          <w:rFonts w:ascii="Arial" w:eastAsia="Arial" w:hAnsi="Arial" w:cs="Arial"/>
        </w:rPr>
        <w:t xml:space="preserve"> není nutná, neboť se jedná pouze o transpozici čtvrtého směrného</w:t>
      </w:r>
      <w:r w:rsidR="0039268C" w:rsidRPr="004D07DE">
        <w:rPr>
          <w:rFonts w:ascii="Arial" w:eastAsia="Arial" w:hAnsi="Arial" w:cs="Arial"/>
        </w:rPr>
        <w:t xml:space="preserve"> seznam</w:t>
      </w:r>
      <w:r w:rsidR="0039268C">
        <w:rPr>
          <w:rFonts w:ascii="Arial" w:eastAsia="Arial" w:hAnsi="Arial" w:cs="Arial"/>
        </w:rPr>
        <w:t>u</w:t>
      </w:r>
      <w:r w:rsidR="0039268C" w:rsidRPr="004D07DE">
        <w:rPr>
          <w:rFonts w:ascii="Arial" w:eastAsia="Arial" w:hAnsi="Arial" w:cs="Arial"/>
        </w:rPr>
        <w:t xml:space="preserve"> limitních hodnot expozice na pracovišti v souladu s uvedenou směrnicí Komise (EU) 2017/164 ze dne 31. ledna 2017, kterou se stanoví čtvrtý seznam směrných limitních hodnot expozice na pracovišti podle směrnice Rady 98/24/ES a kterou se mění směrnice Komise 91/322/EHS, 2000/39/ES a 2009/161/EU</w:t>
      </w:r>
      <w:r w:rsidR="0039268C">
        <w:rPr>
          <w:rFonts w:ascii="Arial" w:eastAsia="Arial" w:hAnsi="Arial" w:cs="Arial"/>
        </w:rPr>
        <w:t>.</w:t>
      </w:r>
      <w:r w:rsidR="003E466C">
        <w:rPr>
          <w:rFonts w:ascii="Arial" w:eastAsia="Arial" w:hAnsi="Arial" w:cs="Arial"/>
        </w:rPr>
        <w:t xml:space="preserve"> Vzhledem k tom</w:t>
      </w:r>
      <w:r w:rsidR="00CE58FF">
        <w:rPr>
          <w:rFonts w:ascii="Arial" w:eastAsia="Arial" w:hAnsi="Arial" w:cs="Arial"/>
        </w:rPr>
        <w:t>u</w:t>
      </w:r>
      <w:r w:rsidR="003E466C">
        <w:rPr>
          <w:rFonts w:ascii="Arial" w:eastAsia="Arial" w:hAnsi="Arial" w:cs="Arial"/>
        </w:rPr>
        <w:t>, že se jedná o směrnici ze dne 31</w:t>
      </w:r>
      <w:r w:rsidR="00267688">
        <w:rPr>
          <w:rFonts w:ascii="Arial" w:eastAsia="Arial" w:hAnsi="Arial" w:cs="Arial"/>
        </w:rPr>
        <w:t xml:space="preserve">. ledna </w:t>
      </w:r>
      <w:r w:rsidR="003E466C">
        <w:rPr>
          <w:rFonts w:ascii="Arial" w:eastAsia="Arial" w:hAnsi="Arial" w:cs="Arial"/>
        </w:rPr>
        <w:t>2017</w:t>
      </w:r>
      <w:r w:rsidR="0009275A">
        <w:rPr>
          <w:rFonts w:ascii="Arial" w:eastAsia="Arial" w:hAnsi="Arial" w:cs="Arial"/>
        </w:rPr>
        <w:t>,</w:t>
      </w:r>
      <w:r w:rsidR="003A0A79">
        <w:rPr>
          <w:rFonts w:ascii="Arial" w:eastAsia="Arial" w:hAnsi="Arial" w:cs="Arial"/>
        </w:rPr>
        <w:t xml:space="preserve"> </w:t>
      </w:r>
      <w:bookmarkStart w:id="0" w:name="_GoBack"/>
      <w:bookmarkEnd w:id="0"/>
      <w:r w:rsidR="003E466C">
        <w:rPr>
          <w:rFonts w:ascii="Arial" w:eastAsia="Arial" w:hAnsi="Arial" w:cs="Arial"/>
        </w:rPr>
        <w:t>lze předpokládat, že praxe měla dostatečný časový prostor se s předmětným textem seznámit.</w:t>
      </w:r>
    </w:p>
    <w:p w:rsidR="00AA1ADF" w:rsidRPr="004D07DE" w:rsidRDefault="00AA1ADF" w:rsidP="004D07D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sectPr w:rsidR="00AA1ADF" w:rsidRPr="004D07DE" w:rsidSect="00C55E13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33" w:rsidRDefault="00CD1333" w:rsidP="00C205E8">
      <w:pPr>
        <w:spacing w:after="0" w:line="240" w:lineRule="auto"/>
      </w:pPr>
      <w:r>
        <w:separator/>
      </w:r>
    </w:p>
  </w:endnote>
  <w:endnote w:type="continuationSeparator" w:id="0">
    <w:p w:rsidR="00CD1333" w:rsidRDefault="00CD1333" w:rsidP="00C2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771480"/>
      <w:docPartObj>
        <w:docPartGallery w:val="Page Numbers (Bottom of Page)"/>
        <w:docPartUnique/>
      </w:docPartObj>
    </w:sdtPr>
    <w:sdtEndPr/>
    <w:sdtContent>
      <w:p w:rsidR="00C55E13" w:rsidRDefault="00C55E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A79">
          <w:rPr>
            <w:noProof/>
          </w:rPr>
          <w:t>8</w:t>
        </w:r>
        <w:r>
          <w:fldChar w:fldCharType="end"/>
        </w:r>
      </w:p>
    </w:sdtContent>
  </w:sdt>
  <w:p w:rsidR="005E31D0" w:rsidRDefault="005E31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33" w:rsidRDefault="00CD1333" w:rsidP="00C205E8">
      <w:pPr>
        <w:spacing w:after="0" w:line="240" w:lineRule="auto"/>
      </w:pPr>
      <w:r>
        <w:separator/>
      </w:r>
    </w:p>
  </w:footnote>
  <w:footnote w:type="continuationSeparator" w:id="0">
    <w:p w:rsidR="00CD1333" w:rsidRDefault="00CD1333" w:rsidP="00C2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13" w:rsidRDefault="00C55E13">
    <w:pPr>
      <w:pStyle w:val="Zhlav"/>
      <w:jc w:val="right"/>
    </w:pPr>
  </w:p>
  <w:p w:rsidR="00C55E13" w:rsidRDefault="00C55E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B86"/>
    <w:multiLevelType w:val="hybridMultilevel"/>
    <w:tmpl w:val="63925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C74B2"/>
    <w:multiLevelType w:val="hybridMultilevel"/>
    <w:tmpl w:val="618CC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E64C6"/>
    <w:multiLevelType w:val="hybridMultilevel"/>
    <w:tmpl w:val="96C8EF70"/>
    <w:lvl w:ilvl="0" w:tplc="755AA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A5F01"/>
    <w:multiLevelType w:val="hybridMultilevel"/>
    <w:tmpl w:val="45982AE6"/>
    <w:lvl w:ilvl="0" w:tplc="76065F02">
      <w:start w:val="1"/>
      <w:numFmt w:val="bullet"/>
      <w:lvlText w:val="-"/>
      <w:lvlJc w:val="center"/>
      <w:pPr>
        <w:ind w:left="720" w:hanging="360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55FDA"/>
    <w:multiLevelType w:val="hybridMultilevel"/>
    <w:tmpl w:val="FD844AB6"/>
    <w:lvl w:ilvl="0" w:tplc="B6624B30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F07DB"/>
    <w:multiLevelType w:val="hybridMultilevel"/>
    <w:tmpl w:val="10805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52C1F"/>
    <w:multiLevelType w:val="hybridMultilevel"/>
    <w:tmpl w:val="A6D6E7F8"/>
    <w:lvl w:ilvl="0" w:tplc="CF523A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10632"/>
    <w:multiLevelType w:val="hybridMultilevel"/>
    <w:tmpl w:val="B2CA9312"/>
    <w:lvl w:ilvl="0" w:tplc="CF523A94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BA367B"/>
    <w:multiLevelType w:val="hybridMultilevel"/>
    <w:tmpl w:val="2478539C"/>
    <w:lvl w:ilvl="0" w:tplc="755CD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F523A9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9D49B4"/>
    <w:multiLevelType w:val="hybridMultilevel"/>
    <w:tmpl w:val="45426226"/>
    <w:lvl w:ilvl="0" w:tplc="2DE28D1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6D9244C7"/>
    <w:multiLevelType w:val="hybridMultilevel"/>
    <w:tmpl w:val="A1CCA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FD"/>
    <w:rsid w:val="000052C5"/>
    <w:rsid w:val="0000646D"/>
    <w:rsid w:val="00010DFB"/>
    <w:rsid w:val="000123B1"/>
    <w:rsid w:val="0001355E"/>
    <w:rsid w:val="0001438D"/>
    <w:rsid w:val="00014671"/>
    <w:rsid w:val="0002060B"/>
    <w:rsid w:val="00026729"/>
    <w:rsid w:val="00032333"/>
    <w:rsid w:val="00036881"/>
    <w:rsid w:val="000422CA"/>
    <w:rsid w:val="00042E64"/>
    <w:rsid w:val="0005553E"/>
    <w:rsid w:val="00056A17"/>
    <w:rsid w:val="000625B5"/>
    <w:rsid w:val="0006383A"/>
    <w:rsid w:val="0006453B"/>
    <w:rsid w:val="00064F2E"/>
    <w:rsid w:val="00065BB7"/>
    <w:rsid w:val="000660CD"/>
    <w:rsid w:val="00080831"/>
    <w:rsid w:val="00082080"/>
    <w:rsid w:val="000821C8"/>
    <w:rsid w:val="00082FA0"/>
    <w:rsid w:val="00086DEA"/>
    <w:rsid w:val="000870F8"/>
    <w:rsid w:val="0009275A"/>
    <w:rsid w:val="000A1A34"/>
    <w:rsid w:val="000A229D"/>
    <w:rsid w:val="000A52A3"/>
    <w:rsid w:val="000B47E3"/>
    <w:rsid w:val="000B5FF4"/>
    <w:rsid w:val="000B641A"/>
    <w:rsid w:val="000D0CFC"/>
    <w:rsid w:val="000D3399"/>
    <w:rsid w:val="000D3BB9"/>
    <w:rsid w:val="000E057D"/>
    <w:rsid w:val="000E3107"/>
    <w:rsid w:val="000E486A"/>
    <w:rsid w:val="000F09C8"/>
    <w:rsid w:val="000F0FF3"/>
    <w:rsid w:val="000F3D69"/>
    <w:rsid w:val="000F5675"/>
    <w:rsid w:val="00102AD9"/>
    <w:rsid w:val="00104E32"/>
    <w:rsid w:val="001056C6"/>
    <w:rsid w:val="001111F1"/>
    <w:rsid w:val="00111F02"/>
    <w:rsid w:val="0011274A"/>
    <w:rsid w:val="00115C95"/>
    <w:rsid w:val="00124DE6"/>
    <w:rsid w:val="0012631C"/>
    <w:rsid w:val="00135748"/>
    <w:rsid w:val="001377DD"/>
    <w:rsid w:val="0014064E"/>
    <w:rsid w:val="001406B2"/>
    <w:rsid w:val="00140DEE"/>
    <w:rsid w:val="001431F4"/>
    <w:rsid w:val="00145E7A"/>
    <w:rsid w:val="00151081"/>
    <w:rsid w:val="00151260"/>
    <w:rsid w:val="00153D61"/>
    <w:rsid w:val="001548D0"/>
    <w:rsid w:val="00157D7B"/>
    <w:rsid w:val="00160D90"/>
    <w:rsid w:val="00163C76"/>
    <w:rsid w:val="00166D4D"/>
    <w:rsid w:val="00167197"/>
    <w:rsid w:val="00167F6A"/>
    <w:rsid w:val="00170CC4"/>
    <w:rsid w:val="00173AE0"/>
    <w:rsid w:val="001750BE"/>
    <w:rsid w:val="00177870"/>
    <w:rsid w:val="00177F66"/>
    <w:rsid w:val="00193299"/>
    <w:rsid w:val="00196165"/>
    <w:rsid w:val="001962D6"/>
    <w:rsid w:val="00196E3E"/>
    <w:rsid w:val="001A1B18"/>
    <w:rsid w:val="001A20C3"/>
    <w:rsid w:val="001A2B9F"/>
    <w:rsid w:val="001A5E2A"/>
    <w:rsid w:val="001A62CF"/>
    <w:rsid w:val="001C1F79"/>
    <w:rsid w:val="001C2599"/>
    <w:rsid w:val="001C5806"/>
    <w:rsid w:val="001C73AB"/>
    <w:rsid w:val="001D0EA5"/>
    <w:rsid w:val="001D178C"/>
    <w:rsid w:val="001D1DAA"/>
    <w:rsid w:val="001D514E"/>
    <w:rsid w:val="001E029B"/>
    <w:rsid w:val="001E1AB8"/>
    <w:rsid w:val="001E26CE"/>
    <w:rsid w:val="001E6E78"/>
    <w:rsid w:val="001E7696"/>
    <w:rsid w:val="001F044E"/>
    <w:rsid w:val="001F1517"/>
    <w:rsid w:val="001F2BB9"/>
    <w:rsid w:val="001F6695"/>
    <w:rsid w:val="00206A86"/>
    <w:rsid w:val="0021075E"/>
    <w:rsid w:val="0021496D"/>
    <w:rsid w:val="002203D9"/>
    <w:rsid w:val="00222B25"/>
    <w:rsid w:val="0023131B"/>
    <w:rsid w:val="00242657"/>
    <w:rsid w:val="00256999"/>
    <w:rsid w:val="00256A32"/>
    <w:rsid w:val="00256C6E"/>
    <w:rsid w:val="00257468"/>
    <w:rsid w:val="00264FE5"/>
    <w:rsid w:val="00267688"/>
    <w:rsid w:val="00273B25"/>
    <w:rsid w:val="0027503D"/>
    <w:rsid w:val="002804A6"/>
    <w:rsid w:val="0028111F"/>
    <w:rsid w:val="00284B37"/>
    <w:rsid w:val="00285AFC"/>
    <w:rsid w:val="002861AC"/>
    <w:rsid w:val="002864BC"/>
    <w:rsid w:val="00286563"/>
    <w:rsid w:val="0029537F"/>
    <w:rsid w:val="00296745"/>
    <w:rsid w:val="002A3779"/>
    <w:rsid w:val="002A3F16"/>
    <w:rsid w:val="002A616D"/>
    <w:rsid w:val="002B1646"/>
    <w:rsid w:val="002B3E90"/>
    <w:rsid w:val="002B471E"/>
    <w:rsid w:val="002B78EF"/>
    <w:rsid w:val="002C06D8"/>
    <w:rsid w:val="002C262D"/>
    <w:rsid w:val="002C6A37"/>
    <w:rsid w:val="002D0E88"/>
    <w:rsid w:val="002D25B9"/>
    <w:rsid w:val="002E0E6B"/>
    <w:rsid w:val="002E57DC"/>
    <w:rsid w:val="002F27CC"/>
    <w:rsid w:val="002F2D07"/>
    <w:rsid w:val="002F4AC1"/>
    <w:rsid w:val="002F57F5"/>
    <w:rsid w:val="002F6B59"/>
    <w:rsid w:val="00302032"/>
    <w:rsid w:val="00302C2F"/>
    <w:rsid w:val="00304833"/>
    <w:rsid w:val="00307FC2"/>
    <w:rsid w:val="003124BD"/>
    <w:rsid w:val="00314994"/>
    <w:rsid w:val="00317333"/>
    <w:rsid w:val="00317366"/>
    <w:rsid w:val="003173E3"/>
    <w:rsid w:val="00320FB4"/>
    <w:rsid w:val="00321838"/>
    <w:rsid w:val="00322314"/>
    <w:rsid w:val="0032263D"/>
    <w:rsid w:val="0033096E"/>
    <w:rsid w:val="00333DEC"/>
    <w:rsid w:val="00337CBD"/>
    <w:rsid w:val="00340D25"/>
    <w:rsid w:val="003425CB"/>
    <w:rsid w:val="00347AFB"/>
    <w:rsid w:val="00361EEC"/>
    <w:rsid w:val="00364B29"/>
    <w:rsid w:val="00371829"/>
    <w:rsid w:val="00372BFB"/>
    <w:rsid w:val="003735FC"/>
    <w:rsid w:val="00374BC0"/>
    <w:rsid w:val="00375522"/>
    <w:rsid w:val="00375F24"/>
    <w:rsid w:val="00381647"/>
    <w:rsid w:val="00381AB5"/>
    <w:rsid w:val="003822A8"/>
    <w:rsid w:val="0039268C"/>
    <w:rsid w:val="00396F3C"/>
    <w:rsid w:val="003A0A79"/>
    <w:rsid w:val="003A5314"/>
    <w:rsid w:val="003A67B5"/>
    <w:rsid w:val="003A7761"/>
    <w:rsid w:val="003A7ED0"/>
    <w:rsid w:val="003B1035"/>
    <w:rsid w:val="003B5EC0"/>
    <w:rsid w:val="003B7DBB"/>
    <w:rsid w:val="003C17B0"/>
    <w:rsid w:val="003C264C"/>
    <w:rsid w:val="003C321C"/>
    <w:rsid w:val="003D0702"/>
    <w:rsid w:val="003D1118"/>
    <w:rsid w:val="003D4244"/>
    <w:rsid w:val="003D4FAC"/>
    <w:rsid w:val="003E1F08"/>
    <w:rsid w:val="003E466C"/>
    <w:rsid w:val="003E5851"/>
    <w:rsid w:val="003F0529"/>
    <w:rsid w:val="0040160C"/>
    <w:rsid w:val="0040339A"/>
    <w:rsid w:val="00410DA1"/>
    <w:rsid w:val="00421FA8"/>
    <w:rsid w:val="004232BA"/>
    <w:rsid w:val="0042594B"/>
    <w:rsid w:val="00425AA6"/>
    <w:rsid w:val="004264AE"/>
    <w:rsid w:val="004302F6"/>
    <w:rsid w:val="00432349"/>
    <w:rsid w:val="00437306"/>
    <w:rsid w:val="00437E11"/>
    <w:rsid w:val="00441625"/>
    <w:rsid w:val="00445B7B"/>
    <w:rsid w:val="00452220"/>
    <w:rsid w:val="004539FA"/>
    <w:rsid w:val="00453B32"/>
    <w:rsid w:val="004569AC"/>
    <w:rsid w:val="004606CE"/>
    <w:rsid w:val="00463C8A"/>
    <w:rsid w:val="004660A1"/>
    <w:rsid w:val="00467421"/>
    <w:rsid w:val="00475C40"/>
    <w:rsid w:val="0047635D"/>
    <w:rsid w:val="00476A25"/>
    <w:rsid w:val="00476FE5"/>
    <w:rsid w:val="00480CB1"/>
    <w:rsid w:val="00481146"/>
    <w:rsid w:val="004835E2"/>
    <w:rsid w:val="00483C09"/>
    <w:rsid w:val="00486448"/>
    <w:rsid w:val="0049123D"/>
    <w:rsid w:val="00492708"/>
    <w:rsid w:val="004A0016"/>
    <w:rsid w:val="004A1E41"/>
    <w:rsid w:val="004A4848"/>
    <w:rsid w:val="004B047E"/>
    <w:rsid w:val="004B447E"/>
    <w:rsid w:val="004B6DE5"/>
    <w:rsid w:val="004C02E3"/>
    <w:rsid w:val="004C32D7"/>
    <w:rsid w:val="004C40A1"/>
    <w:rsid w:val="004C6F25"/>
    <w:rsid w:val="004D017C"/>
    <w:rsid w:val="004D07DE"/>
    <w:rsid w:val="004E3690"/>
    <w:rsid w:val="004F1B1D"/>
    <w:rsid w:val="005001CB"/>
    <w:rsid w:val="0050799A"/>
    <w:rsid w:val="0052019C"/>
    <w:rsid w:val="0052204E"/>
    <w:rsid w:val="0053445F"/>
    <w:rsid w:val="00541360"/>
    <w:rsid w:val="005469F1"/>
    <w:rsid w:val="00546F54"/>
    <w:rsid w:val="00551ADC"/>
    <w:rsid w:val="0055549D"/>
    <w:rsid w:val="00555F6E"/>
    <w:rsid w:val="00556C37"/>
    <w:rsid w:val="00561C54"/>
    <w:rsid w:val="005663E5"/>
    <w:rsid w:val="00570A45"/>
    <w:rsid w:val="0057340C"/>
    <w:rsid w:val="00574C50"/>
    <w:rsid w:val="005815A7"/>
    <w:rsid w:val="00581FBF"/>
    <w:rsid w:val="00590C2D"/>
    <w:rsid w:val="005943D7"/>
    <w:rsid w:val="005951FC"/>
    <w:rsid w:val="00596199"/>
    <w:rsid w:val="005966AF"/>
    <w:rsid w:val="005969DA"/>
    <w:rsid w:val="005A0D59"/>
    <w:rsid w:val="005A189C"/>
    <w:rsid w:val="005A1A71"/>
    <w:rsid w:val="005B1520"/>
    <w:rsid w:val="005B7438"/>
    <w:rsid w:val="005C0AD3"/>
    <w:rsid w:val="005C14AD"/>
    <w:rsid w:val="005D0AD0"/>
    <w:rsid w:val="005D5121"/>
    <w:rsid w:val="005D7A12"/>
    <w:rsid w:val="005D7F9B"/>
    <w:rsid w:val="005E083F"/>
    <w:rsid w:val="005E2339"/>
    <w:rsid w:val="005E31D0"/>
    <w:rsid w:val="005E48FE"/>
    <w:rsid w:val="005E4B6C"/>
    <w:rsid w:val="005F6307"/>
    <w:rsid w:val="00600B2D"/>
    <w:rsid w:val="00601041"/>
    <w:rsid w:val="00604429"/>
    <w:rsid w:val="00605FDB"/>
    <w:rsid w:val="00606D31"/>
    <w:rsid w:val="00607F8F"/>
    <w:rsid w:val="0061050F"/>
    <w:rsid w:val="00610A22"/>
    <w:rsid w:val="00614E97"/>
    <w:rsid w:val="00620CEE"/>
    <w:rsid w:val="0063313E"/>
    <w:rsid w:val="00633249"/>
    <w:rsid w:val="006352C2"/>
    <w:rsid w:val="006458EB"/>
    <w:rsid w:val="00646D6A"/>
    <w:rsid w:val="00650337"/>
    <w:rsid w:val="0065310F"/>
    <w:rsid w:val="00660E96"/>
    <w:rsid w:val="00661313"/>
    <w:rsid w:val="00664AC6"/>
    <w:rsid w:val="00665D2A"/>
    <w:rsid w:val="0067061F"/>
    <w:rsid w:val="0067185D"/>
    <w:rsid w:val="00683470"/>
    <w:rsid w:val="006845C6"/>
    <w:rsid w:val="00686F38"/>
    <w:rsid w:val="0069163A"/>
    <w:rsid w:val="00691AF4"/>
    <w:rsid w:val="0069307C"/>
    <w:rsid w:val="00695F0F"/>
    <w:rsid w:val="00697C30"/>
    <w:rsid w:val="006A3671"/>
    <w:rsid w:val="006A4332"/>
    <w:rsid w:val="006B1668"/>
    <w:rsid w:val="006B667C"/>
    <w:rsid w:val="006B79B9"/>
    <w:rsid w:val="006C7187"/>
    <w:rsid w:val="006E2514"/>
    <w:rsid w:val="006E4513"/>
    <w:rsid w:val="006E4AD8"/>
    <w:rsid w:val="006E58F1"/>
    <w:rsid w:val="006F1850"/>
    <w:rsid w:val="006F319E"/>
    <w:rsid w:val="006F3637"/>
    <w:rsid w:val="006F46BC"/>
    <w:rsid w:val="0070180C"/>
    <w:rsid w:val="0070279E"/>
    <w:rsid w:val="007056C0"/>
    <w:rsid w:val="00716990"/>
    <w:rsid w:val="00716F63"/>
    <w:rsid w:val="0072000B"/>
    <w:rsid w:val="0072055D"/>
    <w:rsid w:val="00720F2C"/>
    <w:rsid w:val="00723D5F"/>
    <w:rsid w:val="00725690"/>
    <w:rsid w:val="007310DE"/>
    <w:rsid w:val="00731C23"/>
    <w:rsid w:val="007356DD"/>
    <w:rsid w:val="00737AE9"/>
    <w:rsid w:val="0074053B"/>
    <w:rsid w:val="00740BCA"/>
    <w:rsid w:val="00741DCC"/>
    <w:rsid w:val="00741F6C"/>
    <w:rsid w:val="007442D9"/>
    <w:rsid w:val="00746C34"/>
    <w:rsid w:val="007528C9"/>
    <w:rsid w:val="00754872"/>
    <w:rsid w:val="00756E8C"/>
    <w:rsid w:val="007658CB"/>
    <w:rsid w:val="00767014"/>
    <w:rsid w:val="00770C21"/>
    <w:rsid w:val="00772B6A"/>
    <w:rsid w:val="00775272"/>
    <w:rsid w:val="007757E5"/>
    <w:rsid w:val="0078181A"/>
    <w:rsid w:val="0078308A"/>
    <w:rsid w:val="0078486A"/>
    <w:rsid w:val="0078603A"/>
    <w:rsid w:val="00790044"/>
    <w:rsid w:val="0079292B"/>
    <w:rsid w:val="007B2D28"/>
    <w:rsid w:val="007B5457"/>
    <w:rsid w:val="007B7884"/>
    <w:rsid w:val="007C73FF"/>
    <w:rsid w:val="007D0CB5"/>
    <w:rsid w:val="007D66CF"/>
    <w:rsid w:val="007E5BB5"/>
    <w:rsid w:val="007F2DF5"/>
    <w:rsid w:val="008007B8"/>
    <w:rsid w:val="008009EB"/>
    <w:rsid w:val="008023ED"/>
    <w:rsid w:val="00802AAE"/>
    <w:rsid w:val="0081265C"/>
    <w:rsid w:val="0081415E"/>
    <w:rsid w:val="008156D8"/>
    <w:rsid w:val="0082489B"/>
    <w:rsid w:val="00825E32"/>
    <w:rsid w:val="00830C1D"/>
    <w:rsid w:val="00831D9E"/>
    <w:rsid w:val="008378F9"/>
    <w:rsid w:val="00837DBA"/>
    <w:rsid w:val="008423FD"/>
    <w:rsid w:val="00845E8A"/>
    <w:rsid w:val="00847017"/>
    <w:rsid w:val="00854376"/>
    <w:rsid w:val="008601A8"/>
    <w:rsid w:val="00865FC5"/>
    <w:rsid w:val="008728B5"/>
    <w:rsid w:val="00874B6B"/>
    <w:rsid w:val="00874B90"/>
    <w:rsid w:val="00880D7A"/>
    <w:rsid w:val="00885AAB"/>
    <w:rsid w:val="00887DCC"/>
    <w:rsid w:val="00894EFA"/>
    <w:rsid w:val="0089757F"/>
    <w:rsid w:val="008977AC"/>
    <w:rsid w:val="008B43C1"/>
    <w:rsid w:val="008B4C25"/>
    <w:rsid w:val="008C1FB1"/>
    <w:rsid w:val="008C2450"/>
    <w:rsid w:val="008C3F02"/>
    <w:rsid w:val="008C43FB"/>
    <w:rsid w:val="008C59A3"/>
    <w:rsid w:val="008C78B4"/>
    <w:rsid w:val="008D24AD"/>
    <w:rsid w:val="008E474E"/>
    <w:rsid w:val="008F2AE9"/>
    <w:rsid w:val="008F5CB2"/>
    <w:rsid w:val="0090683D"/>
    <w:rsid w:val="009118B5"/>
    <w:rsid w:val="00912BEC"/>
    <w:rsid w:val="009178B8"/>
    <w:rsid w:val="00921892"/>
    <w:rsid w:val="009255CF"/>
    <w:rsid w:val="00931193"/>
    <w:rsid w:val="00931501"/>
    <w:rsid w:val="00931918"/>
    <w:rsid w:val="00935FAE"/>
    <w:rsid w:val="00937D6A"/>
    <w:rsid w:val="009430BB"/>
    <w:rsid w:val="00943D88"/>
    <w:rsid w:val="00946062"/>
    <w:rsid w:val="00947498"/>
    <w:rsid w:val="00950B2D"/>
    <w:rsid w:val="00953B6E"/>
    <w:rsid w:val="00956021"/>
    <w:rsid w:val="009575B8"/>
    <w:rsid w:val="009657B8"/>
    <w:rsid w:val="0096678D"/>
    <w:rsid w:val="00976DBB"/>
    <w:rsid w:val="009814F6"/>
    <w:rsid w:val="009820EB"/>
    <w:rsid w:val="0098390A"/>
    <w:rsid w:val="009A25DC"/>
    <w:rsid w:val="009A26F5"/>
    <w:rsid w:val="009A33F0"/>
    <w:rsid w:val="009A5F29"/>
    <w:rsid w:val="009A6906"/>
    <w:rsid w:val="009B3AA4"/>
    <w:rsid w:val="009B685B"/>
    <w:rsid w:val="009B6E8B"/>
    <w:rsid w:val="009B7283"/>
    <w:rsid w:val="009C5A7E"/>
    <w:rsid w:val="009C67E1"/>
    <w:rsid w:val="009C6D8A"/>
    <w:rsid w:val="009D200A"/>
    <w:rsid w:val="009D4730"/>
    <w:rsid w:val="009D7EC4"/>
    <w:rsid w:val="009E2B0B"/>
    <w:rsid w:val="009E4A6E"/>
    <w:rsid w:val="009E6124"/>
    <w:rsid w:val="009E7FC2"/>
    <w:rsid w:val="009F27DC"/>
    <w:rsid w:val="009F594B"/>
    <w:rsid w:val="009F7A6E"/>
    <w:rsid w:val="00A049A8"/>
    <w:rsid w:val="00A07578"/>
    <w:rsid w:val="00A11ECA"/>
    <w:rsid w:val="00A13DF1"/>
    <w:rsid w:val="00A1559E"/>
    <w:rsid w:val="00A16B06"/>
    <w:rsid w:val="00A20FCB"/>
    <w:rsid w:val="00A22B96"/>
    <w:rsid w:val="00A240CB"/>
    <w:rsid w:val="00A24421"/>
    <w:rsid w:val="00A27B85"/>
    <w:rsid w:val="00A30F8F"/>
    <w:rsid w:val="00A32F2B"/>
    <w:rsid w:val="00A33467"/>
    <w:rsid w:val="00A34879"/>
    <w:rsid w:val="00A36F2C"/>
    <w:rsid w:val="00A377FA"/>
    <w:rsid w:val="00A37E86"/>
    <w:rsid w:val="00A41A48"/>
    <w:rsid w:val="00A42DD0"/>
    <w:rsid w:val="00A430B6"/>
    <w:rsid w:val="00A4337F"/>
    <w:rsid w:val="00A44760"/>
    <w:rsid w:val="00A52A1D"/>
    <w:rsid w:val="00A65A88"/>
    <w:rsid w:val="00A74F4E"/>
    <w:rsid w:val="00A75157"/>
    <w:rsid w:val="00A80A3D"/>
    <w:rsid w:val="00A813AC"/>
    <w:rsid w:val="00A834BB"/>
    <w:rsid w:val="00A90876"/>
    <w:rsid w:val="00A95C91"/>
    <w:rsid w:val="00A96716"/>
    <w:rsid w:val="00AA1ADF"/>
    <w:rsid w:val="00AA6346"/>
    <w:rsid w:val="00AA6E16"/>
    <w:rsid w:val="00AB1F5C"/>
    <w:rsid w:val="00AB566B"/>
    <w:rsid w:val="00AC0E7A"/>
    <w:rsid w:val="00AC0EE3"/>
    <w:rsid w:val="00AC1EEB"/>
    <w:rsid w:val="00AC3C14"/>
    <w:rsid w:val="00AC44FA"/>
    <w:rsid w:val="00AD3D29"/>
    <w:rsid w:val="00AD756B"/>
    <w:rsid w:val="00AE0DF5"/>
    <w:rsid w:val="00AE102C"/>
    <w:rsid w:val="00AE3EAF"/>
    <w:rsid w:val="00AE5D2B"/>
    <w:rsid w:val="00AF211B"/>
    <w:rsid w:val="00AF2E76"/>
    <w:rsid w:val="00AF4E70"/>
    <w:rsid w:val="00AF65DC"/>
    <w:rsid w:val="00AF7452"/>
    <w:rsid w:val="00B003FF"/>
    <w:rsid w:val="00B014A2"/>
    <w:rsid w:val="00B03823"/>
    <w:rsid w:val="00B07107"/>
    <w:rsid w:val="00B11918"/>
    <w:rsid w:val="00B2126F"/>
    <w:rsid w:val="00B2245C"/>
    <w:rsid w:val="00B25119"/>
    <w:rsid w:val="00B2745E"/>
    <w:rsid w:val="00B302AB"/>
    <w:rsid w:val="00B3098B"/>
    <w:rsid w:val="00B319DA"/>
    <w:rsid w:val="00B324AF"/>
    <w:rsid w:val="00B3377C"/>
    <w:rsid w:val="00B356DD"/>
    <w:rsid w:val="00B3573D"/>
    <w:rsid w:val="00B37F13"/>
    <w:rsid w:val="00B40062"/>
    <w:rsid w:val="00B400B7"/>
    <w:rsid w:val="00B46977"/>
    <w:rsid w:val="00B505BB"/>
    <w:rsid w:val="00B5273C"/>
    <w:rsid w:val="00B566FD"/>
    <w:rsid w:val="00B60E62"/>
    <w:rsid w:val="00B657A4"/>
    <w:rsid w:val="00B66458"/>
    <w:rsid w:val="00B6708E"/>
    <w:rsid w:val="00B724BE"/>
    <w:rsid w:val="00B8533A"/>
    <w:rsid w:val="00B87863"/>
    <w:rsid w:val="00B937EE"/>
    <w:rsid w:val="00B94E57"/>
    <w:rsid w:val="00B97A45"/>
    <w:rsid w:val="00BA486F"/>
    <w:rsid w:val="00BC0CE3"/>
    <w:rsid w:val="00BC0E42"/>
    <w:rsid w:val="00BC1127"/>
    <w:rsid w:val="00BC3AEB"/>
    <w:rsid w:val="00BC65B8"/>
    <w:rsid w:val="00BC72E5"/>
    <w:rsid w:val="00BD44BD"/>
    <w:rsid w:val="00BD5C20"/>
    <w:rsid w:val="00BD79BB"/>
    <w:rsid w:val="00BE02BF"/>
    <w:rsid w:val="00BE5032"/>
    <w:rsid w:val="00BE77AE"/>
    <w:rsid w:val="00BF02EB"/>
    <w:rsid w:val="00BF43D2"/>
    <w:rsid w:val="00C01BE8"/>
    <w:rsid w:val="00C049F6"/>
    <w:rsid w:val="00C171C6"/>
    <w:rsid w:val="00C205E8"/>
    <w:rsid w:val="00C21875"/>
    <w:rsid w:val="00C2244A"/>
    <w:rsid w:val="00C25434"/>
    <w:rsid w:val="00C33C83"/>
    <w:rsid w:val="00C37B65"/>
    <w:rsid w:val="00C42FB7"/>
    <w:rsid w:val="00C44166"/>
    <w:rsid w:val="00C44501"/>
    <w:rsid w:val="00C50351"/>
    <w:rsid w:val="00C53D71"/>
    <w:rsid w:val="00C54547"/>
    <w:rsid w:val="00C55E13"/>
    <w:rsid w:val="00C56169"/>
    <w:rsid w:val="00C5648B"/>
    <w:rsid w:val="00C57BAE"/>
    <w:rsid w:val="00C608A4"/>
    <w:rsid w:val="00C63E1B"/>
    <w:rsid w:val="00C64D27"/>
    <w:rsid w:val="00C64E63"/>
    <w:rsid w:val="00C66BBE"/>
    <w:rsid w:val="00C73586"/>
    <w:rsid w:val="00C76E11"/>
    <w:rsid w:val="00C83063"/>
    <w:rsid w:val="00C85411"/>
    <w:rsid w:val="00C86881"/>
    <w:rsid w:val="00C913BB"/>
    <w:rsid w:val="00C92A6A"/>
    <w:rsid w:val="00C94460"/>
    <w:rsid w:val="00C95B4D"/>
    <w:rsid w:val="00CA0D16"/>
    <w:rsid w:val="00CB2760"/>
    <w:rsid w:val="00CC08CF"/>
    <w:rsid w:val="00CC12C0"/>
    <w:rsid w:val="00CC51ED"/>
    <w:rsid w:val="00CC7904"/>
    <w:rsid w:val="00CD1333"/>
    <w:rsid w:val="00CD2EB9"/>
    <w:rsid w:val="00CE58FF"/>
    <w:rsid w:val="00CE5E6E"/>
    <w:rsid w:val="00CF0446"/>
    <w:rsid w:val="00CF2544"/>
    <w:rsid w:val="00CF440A"/>
    <w:rsid w:val="00D0472E"/>
    <w:rsid w:val="00D067F0"/>
    <w:rsid w:val="00D15BB7"/>
    <w:rsid w:val="00D249D6"/>
    <w:rsid w:val="00D24A77"/>
    <w:rsid w:val="00D3282D"/>
    <w:rsid w:val="00D34310"/>
    <w:rsid w:val="00D34DF3"/>
    <w:rsid w:val="00D448BC"/>
    <w:rsid w:val="00D47990"/>
    <w:rsid w:val="00D578F2"/>
    <w:rsid w:val="00D6043D"/>
    <w:rsid w:val="00D635CF"/>
    <w:rsid w:val="00D705F6"/>
    <w:rsid w:val="00D71D15"/>
    <w:rsid w:val="00D7681B"/>
    <w:rsid w:val="00D775C9"/>
    <w:rsid w:val="00D81205"/>
    <w:rsid w:val="00D84686"/>
    <w:rsid w:val="00D90B5E"/>
    <w:rsid w:val="00D9213C"/>
    <w:rsid w:val="00DA34A2"/>
    <w:rsid w:val="00DA3C17"/>
    <w:rsid w:val="00DA46BE"/>
    <w:rsid w:val="00DA51C4"/>
    <w:rsid w:val="00DB5C66"/>
    <w:rsid w:val="00DB5EDA"/>
    <w:rsid w:val="00DC1AEB"/>
    <w:rsid w:val="00DC30D2"/>
    <w:rsid w:val="00DC3C0A"/>
    <w:rsid w:val="00DC509D"/>
    <w:rsid w:val="00DC69C7"/>
    <w:rsid w:val="00DD1BE7"/>
    <w:rsid w:val="00DD2607"/>
    <w:rsid w:val="00DD2E6C"/>
    <w:rsid w:val="00DD7433"/>
    <w:rsid w:val="00DD7583"/>
    <w:rsid w:val="00DD7599"/>
    <w:rsid w:val="00DE0051"/>
    <w:rsid w:val="00DE1BDE"/>
    <w:rsid w:val="00DE2FF3"/>
    <w:rsid w:val="00DE6447"/>
    <w:rsid w:val="00DE7ACD"/>
    <w:rsid w:val="00DE7CF5"/>
    <w:rsid w:val="00DE7F39"/>
    <w:rsid w:val="00DF0535"/>
    <w:rsid w:val="00DF3ECD"/>
    <w:rsid w:val="00DF6AE8"/>
    <w:rsid w:val="00E01FEB"/>
    <w:rsid w:val="00E02000"/>
    <w:rsid w:val="00E02C19"/>
    <w:rsid w:val="00E06F5A"/>
    <w:rsid w:val="00E11C17"/>
    <w:rsid w:val="00E1547A"/>
    <w:rsid w:val="00E20117"/>
    <w:rsid w:val="00E208B8"/>
    <w:rsid w:val="00E21E6F"/>
    <w:rsid w:val="00E25B5F"/>
    <w:rsid w:val="00E30DDA"/>
    <w:rsid w:val="00E32068"/>
    <w:rsid w:val="00E34584"/>
    <w:rsid w:val="00E3778C"/>
    <w:rsid w:val="00E4098F"/>
    <w:rsid w:val="00E420AD"/>
    <w:rsid w:val="00E53B89"/>
    <w:rsid w:val="00E53BCD"/>
    <w:rsid w:val="00E54BD1"/>
    <w:rsid w:val="00E56D4D"/>
    <w:rsid w:val="00E60E3E"/>
    <w:rsid w:val="00E61824"/>
    <w:rsid w:val="00E65CA0"/>
    <w:rsid w:val="00E702B6"/>
    <w:rsid w:val="00E80DA0"/>
    <w:rsid w:val="00E81AF4"/>
    <w:rsid w:val="00E85DFB"/>
    <w:rsid w:val="00E90214"/>
    <w:rsid w:val="00E91ECF"/>
    <w:rsid w:val="00E94A0A"/>
    <w:rsid w:val="00E96375"/>
    <w:rsid w:val="00E965DC"/>
    <w:rsid w:val="00EA377D"/>
    <w:rsid w:val="00EA55D6"/>
    <w:rsid w:val="00EA59C3"/>
    <w:rsid w:val="00EA7220"/>
    <w:rsid w:val="00EB379D"/>
    <w:rsid w:val="00EB37B2"/>
    <w:rsid w:val="00EB49AC"/>
    <w:rsid w:val="00EB6396"/>
    <w:rsid w:val="00EC54B1"/>
    <w:rsid w:val="00EC6A0F"/>
    <w:rsid w:val="00ED05A9"/>
    <w:rsid w:val="00ED12B4"/>
    <w:rsid w:val="00ED16CE"/>
    <w:rsid w:val="00ED3C8E"/>
    <w:rsid w:val="00ED6DD1"/>
    <w:rsid w:val="00EE1C93"/>
    <w:rsid w:val="00EE4478"/>
    <w:rsid w:val="00EF3967"/>
    <w:rsid w:val="00EF3CC4"/>
    <w:rsid w:val="00EF6ABF"/>
    <w:rsid w:val="00F03736"/>
    <w:rsid w:val="00F040CA"/>
    <w:rsid w:val="00F0642C"/>
    <w:rsid w:val="00F172B3"/>
    <w:rsid w:val="00F17777"/>
    <w:rsid w:val="00F17B72"/>
    <w:rsid w:val="00F207F0"/>
    <w:rsid w:val="00F21CF3"/>
    <w:rsid w:val="00F220AE"/>
    <w:rsid w:val="00F260CA"/>
    <w:rsid w:val="00F27BB5"/>
    <w:rsid w:val="00F27CE8"/>
    <w:rsid w:val="00F31DD3"/>
    <w:rsid w:val="00F32598"/>
    <w:rsid w:val="00F334A8"/>
    <w:rsid w:val="00F40BA9"/>
    <w:rsid w:val="00F418BA"/>
    <w:rsid w:val="00F46ABC"/>
    <w:rsid w:val="00F4780E"/>
    <w:rsid w:val="00F52DCB"/>
    <w:rsid w:val="00F52DD1"/>
    <w:rsid w:val="00F5526C"/>
    <w:rsid w:val="00F56FBE"/>
    <w:rsid w:val="00F57CE9"/>
    <w:rsid w:val="00F614D5"/>
    <w:rsid w:val="00F62411"/>
    <w:rsid w:val="00F6343C"/>
    <w:rsid w:val="00F66E13"/>
    <w:rsid w:val="00F727B3"/>
    <w:rsid w:val="00F748FD"/>
    <w:rsid w:val="00F80485"/>
    <w:rsid w:val="00F83EFF"/>
    <w:rsid w:val="00F874EB"/>
    <w:rsid w:val="00FB7E02"/>
    <w:rsid w:val="00FC3A8B"/>
    <w:rsid w:val="00FC55E8"/>
    <w:rsid w:val="00FC596E"/>
    <w:rsid w:val="00FD088E"/>
    <w:rsid w:val="00FD1344"/>
    <w:rsid w:val="00FD56EE"/>
    <w:rsid w:val="00FD76BD"/>
    <w:rsid w:val="00FD7A10"/>
    <w:rsid w:val="00FD7CA9"/>
    <w:rsid w:val="00FE0158"/>
    <w:rsid w:val="00FE0954"/>
    <w:rsid w:val="00FE243D"/>
    <w:rsid w:val="00FF0084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E1B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E1B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E1B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B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BDE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rážka první,Odstavec_muj"/>
    <w:basedOn w:val="Normln"/>
    <w:link w:val="OdstavecseseznamemChar"/>
    <w:uiPriority w:val="34"/>
    <w:qFormat/>
    <w:rsid w:val="00770C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5E8"/>
  </w:style>
  <w:style w:type="paragraph" w:styleId="Zpat">
    <w:name w:val="footer"/>
    <w:basedOn w:val="Normln"/>
    <w:link w:val="ZpatChar"/>
    <w:uiPriority w:val="99"/>
    <w:unhideWhenUsed/>
    <w:rsid w:val="00C2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5E8"/>
  </w:style>
  <w:style w:type="character" w:styleId="Siln">
    <w:name w:val="Strong"/>
    <w:uiPriority w:val="22"/>
    <w:qFormat/>
    <w:rsid w:val="0070279E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DF6AE8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F6AE8"/>
    <w:rPr>
      <w:rFonts w:ascii="Calibri" w:eastAsiaTheme="minorHAnsi" w:hAnsi="Calibri" w:cs="Times New Roman"/>
      <w:lang w:eastAsia="en-US"/>
    </w:rPr>
  </w:style>
  <w:style w:type="character" w:customStyle="1" w:styleId="OdstavecseseznamemChar">
    <w:name w:val="Odstavec se seznamem Char"/>
    <w:aliases w:val="odrážka první Char,Odstavec_muj Char"/>
    <w:basedOn w:val="Standardnpsmoodstavce"/>
    <w:link w:val="Odstavecseseznamem"/>
    <w:uiPriority w:val="34"/>
    <w:locked/>
    <w:rsid w:val="005B1520"/>
  </w:style>
  <w:style w:type="paragraph" w:styleId="Bezmezer">
    <w:name w:val="No Spacing"/>
    <w:uiPriority w:val="1"/>
    <w:qFormat/>
    <w:rsid w:val="0001438D"/>
    <w:pPr>
      <w:spacing w:after="0" w:line="240" w:lineRule="auto"/>
      <w:jc w:val="both"/>
    </w:pPr>
    <w:rPr>
      <w:rFonts w:ascii="Arial" w:eastAsia="Times New Roman" w:hAnsi="Arial" w:cs="Times New Roman"/>
      <w:noProof/>
      <w:color w:val="000000"/>
      <w:szCs w:val="24"/>
    </w:rPr>
  </w:style>
  <w:style w:type="paragraph" w:customStyle="1" w:styleId="Textodstavce">
    <w:name w:val="Text odstavce"/>
    <w:basedOn w:val="Normln"/>
    <w:rsid w:val="0096678D"/>
    <w:pPr>
      <w:numPr>
        <w:numId w:val="1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96678D"/>
    <w:pPr>
      <w:numPr>
        <w:ilvl w:val="2"/>
        <w:numId w:val="1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96678D"/>
    <w:pPr>
      <w:numPr>
        <w:ilvl w:val="1"/>
        <w:numId w:val="1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9667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6678D"/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1">
    <w:name w:val="odstavec 1"/>
    <w:basedOn w:val="Normln"/>
    <w:rsid w:val="00320FB4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F7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F7429"/>
    <w:rPr>
      <w:color w:val="auto"/>
    </w:rPr>
  </w:style>
  <w:style w:type="paragraph" w:customStyle="1" w:styleId="Nadpishlavy">
    <w:name w:val="Nadpis hlavy"/>
    <w:basedOn w:val="Normln"/>
    <w:next w:val="Normln"/>
    <w:rsid w:val="00FC3A8B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uenistoed5">
    <w:name w:val="tueni stoed 5"/>
    <w:basedOn w:val="Zkladntext"/>
    <w:rsid w:val="00FC3A8B"/>
    <w:pPr>
      <w:spacing w:before="6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Nadpisoddlu">
    <w:name w:val="Nadpis oddílu"/>
    <w:basedOn w:val="Normln"/>
    <w:next w:val="Normln"/>
    <w:link w:val="NadpisoddluChar"/>
    <w:rsid w:val="00FC3A8B"/>
    <w:pPr>
      <w:keepNext/>
      <w:keepLine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dka2">
    <w:name w:val="oádka 2"/>
    <w:basedOn w:val="Zkladntext"/>
    <w:rsid w:val="00FC3A8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NadpisoddluChar">
    <w:name w:val="Nadpis oddílu Char"/>
    <w:link w:val="Nadpisoddlu"/>
    <w:rsid w:val="00FC3A8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dek0">
    <w:name w:val="oádek 0"/>
    <w:basedOn w:val="Normln"/>
    <w:rsid w:val="00FC3A8B"/>
    <w:pPr>
      <w:spacing w:before="6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Import5">
    <w:name w:val="Import 5"/>
    <w:basedOn w:val="Normln"/>
    <w:rsid w:val="00FC3A8B"/>
    <w:pPr>
      <w:widowControl w:val="0"/>
      <w:tabs>
        <w:tab w:val="left" w:pos="2448"/>
        <w:tab w:val="left" w:pos="4176"/>
        <w:tab w:val="left" w:pos="7200"/>
        <w:tab w:val="left" w:pos="8928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C3A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C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E1B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E1B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E1B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B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BDE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rážka první,Odstavec_muj"/>
    <w:basedOn w:val="Normln"/>
    <w:link w:val="OdstavecseseznamemChar"/>
    <w:uiPriority w:val="34"/>
    <w:qFormat/>
    <w:rsid w:val="00770C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5E8"/>
  </w:style>
  <w:style w:type="paragraph" w:styleId="Zpat">
    <w:name w:val="footer"/>
    <w:basedOn w:val="Normln"/>
    <w:link w:val="ZpatChar"/>
    <w:uiPriority w:val="99"/>
    <w:unhideWhenUsed/>
    <w:rsid w:val="00C2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5E8"/>
  </w:style>
  <w:style w:type="character" w:styleId="Siln">
    <w:name w:val="Strong"/>
    <w:uiPriority w:val="22"/>
    <w:qFormat/>
    <w:rsid w:val="0070279E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DF6AE8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F6AE8"/>
    <w:rPr>
      <w:rFonts w:ascii="Calibri" w:eastAsiaTheme="minorHAnsi" w:hAnsi="Calibri" w:cs="Times New Roman"/>
      <w:lang w:eastAsia="en-US"/>
    </w:rPr>
  </w:style>
  <w:style w:type="character" w:customStyle="1" w:styleId="OdstavecseseznamemChar">
    <w:name w:val="Odstavec se seznamem Char"/>
    <w:aliases w:val="odrážka první Char,Odstavec_muj Char"/>
    <w:basedOn w:val="Standardnpsmoodstavce"/>
    <w:link w:val="Odstavecseseznamem"/>
    <w:uiPriority w:val="34"/>
    <w:locked/>
    <w:rsid w:val="005B1520"/>
  </w:style>
  <w:style w:type="paragraph" w:styleId="Bezmezer">
    <w:name w:val="No Spacing"/>
    <w:uiPriority w:val="1"/>
    <w:qFormat/>
    <w:rsid w:val="0001438D"/>
    <w:pPr>
      <w:spacing w:after="0" w:line="240" w:lineRule="auto"/>
      <w:jc w:val="both"/>
    </w:pPr>
    <w:rPr>
      <w:rFonts w:ascii="Arial" w:eastAsia="Times New Roman" w:hAnsi="Arial" w:cs="Times New Roman"/>
      <w:noProof/>
      <w:color w:val="000000"/>
      <w:szCs w:val="24"/>
    </w:rPr>
  </w:style>
  <w:style w:type="paragraph" w:customStyle="1" w:styleId="Textodstavce">
    <w:name w:val="Text odstavce"/>
    <w:basedOn w:val="Normln"/>
    <w:rsid w:val="0096678D"/>
    <w:pPr>
      <w:numPr>
        <w:numId w:val="1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96678D"/>
    <w:pPr>
      <w:numPr>
        <w:ilvl w:val="2"/>
        <w:numId w:val="1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96678D"/>
    <w:pPr>
      <w:numPr>
        <w:ilvl w:val="1"/>
        <w:numId w:val="1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9667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6678D"/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1">
    <w:name w:val="odstavec 1"/>
    <w:basedOn w:val="Normln"/>
    <w:rsid w:val="00320FB4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F7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F7429"/>
    <w:rPr>
      <w:color w:val="auto"/>
    </w:rPr>
  </w:style>
  <w:style w:type="paragraph" w:customStyle="1" w:styleId="Nadpishlavy">
    <w:name w:val="Nadpis hlavy"/>
    <w:basedOn w:val="Normln"/>
    <w:next w:val="Normln"/>
    <w:rsid w:val="00FC3A8B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uenistoed5">
    <w:name w:val="tueni stoed 5"/>
    <w:basedOn w:val="Zkladntext"/>
    <w:rsid w:val="00FC3A8B"/>
    <w:pPr>
      <w:spacing w:before="6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Nadpisoddlu">
    <w:name w:val="Nadpis oddílu"/>
    <w:basedOn w:val="Normln"/>
    <w:next w:val="Normln"/>
    <w:link w:val="NadpisoddluChar"/>
    <w:rsid w:val="00FC3A8B"/>
    <w:pPr>
      <w:keepNext/>
      <w:keepLine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dka2">
    <w:name w:val="oádka 2"/>
    <w:basedOn w:val="Zkladntext"/>
    <w:rsid w:val="00FC3A8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NadpisoddluChar">
    <w:name w:val="Nadpis oddílu Char"/>
    <w:link w:val="Nadpisoddlu"/>
    <w:rsid w:val="00FC3A8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dek0">
    <w:name w:val="oádek 0"/>
    <w:basedOn w:val="Normln"/>
    <w:rsid w:val="00FC3A8B"/>
    <w:pPr>
      <w:spacing w:before="6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Import5">
    <w:name w:val="Import 5"/>
    <w:basedOn w:val="Normln"/>
    <w:rsid w:val="00FC3A8B"/>
    <w:pPr>
      <w:widowControl w:val="0"/>
      <w:tabs>
        <w:tab w:val="left" w:pos="2448"/>
        <w:tab w:val="left" w:pos="4176"/>
        <w:tab w:val="left" w:pos="7200"/>
        <w:tab w:val="left" w:pos="8928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C3A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C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spi://module='EU'&amp;link='32009L0161%2523'&amp;ucin-k-dni='30.12.9999'" TargetMode="External"/><Relationship Id="rId18" Type="http://schemas.openxmlformats.org/officeDocument/2006/relationships/hyperlink" Target="http://www.beck-online.cz/bo/document-view.seam?documentId=onrf6mrqga3f6mrwg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aspi://module='EU'&amp;link='32000L0039%2523'&amp;ucin-k-dni='30.12.9999'" TargetMode="External"/><Relationship Id="rId17" Type="http://schemas.openxmlformats.org/officeDocument/2006/relationships/hyperlink" Target="http://www.beck-online.cz/bo/document-view.seam?documentId=onrf6mrqga3f6mrwg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ck-online.cz/bo/document-view.seam?documentId=onrf6mrqga3f6mzqh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spi://module='EU'&amp;link='31991L0322%2523'&amp;ucin-k-dni='30.12.9999'" TargetMode="External"/><Relationship Id="rId5" Type="http://schemas.openxmlformats.org/officeDocument/2006/relationships/settings" Target="settings.xml"/><Relationship Id="rId15" Type="http://schemas.openxmlformats.org/officeDocument/2006/relationships/hyperlink" Target="aspi://module='EU'&amp;link='32000L0039%2523'&amp;ucin-k-dni='30.12.9999'" TargetMode="External"/><Relationship Id="rId10" Type="http://schemas.openxmlformats.org/officeDocument/2006/relationships/hyperlink" Target="aspi://module='EU'&amp;link='31998L0024%2523'&amp;ucin-k-dni='30.12.9999'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spi://module='EU'&amp;link='32006L0015%2523'&amp;ucin-k-dni='30.12.9999'" TargetMode="External"/><Relationship Id="rId14" Type="http://schemas.openxmlformats.org/officeDocument/2006/relationships/hyperlink" Target="aspi://module='EU'&amp;link='31998L0024%2523'&amp;ucin-k-dni='30.12.9999'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4869-4A47-4ACF-B522-A08F7AF6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3523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 Anežka MUDr.</dc:creator>
  <cp:lastModifiedBy>Zemanová Petra JUDr.</cp:lastModifiedBy>
  <cp:revision>39</cp:revision>
  <cp:lastPrinted>2018-05-30T06:48:00Z</cp:lastPrinted>
  <dcterms:created xsi:type="dcterms:W3CDTF">2018-05-15T12:12:00Z</dcterms:created>
  <dcterms:modified xsi:type="dcterms:W3CDTF">2018-05-30T06:50:00Z</dcterms:modified>
</cp:coreProperties>
</file>